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65" w:rsidRDefault="00DC1A65">
      <w:pPr>
        <w:pStyle w:val="BodyText"/>
        <w:spacing w:before="9"/>
        <w:rPr>
          <w:b/>
          <w:sz w:val="19"/>
        </w:rPr>
      </w:pPr>
      <w:bookmarkStart w:id="0" w:name="_GoBack"/>
      <w:bookmarkEnd w:id="0"/>
    </w:p>
    <w:p w:rsidR="00DC1A65" w:rsidRDefault="000316BB">
      <w:pPr>
        <w:ind w:left="1240"/>
        <w:rPr>
          <w:b/>
          <w:sz w:val="16"/>
        </w:rPr>
      </w:pPr>
      <w:r>
        <w:rPr>
          <w:b/>
          <w:sz w:val="16"/>
        </w:rPr>
        <w:t>Modify as follows:</w:t>
      </w:r>
    </w:p>
    <w:p w:rsidR="00DC1A65" w:rsidRDefault="000316BB">
      <w:pPr>
        <w:pStyle w:val="BodyText"/>
        <w:spacing w:before="140"/>
        <w:ind w:left="1240" w:right="1358"/>
      </w:pPr>
      <w:proofErr w:type="gramStart"/>
      <w:r>
        <w:rPr>
          <w:b/>
        </w:rPr>
        <w:t>C405.4.2.2.1 Additional interior lighting power.</w:t>
      </w:r>
      <w:proofErr w:type="gramEnd"/>
      <w:r>
        <w:rPr>
          <w:b/>
        </w:rPr>
        <w:t xml:space="preserve"> </w:t>
      </w:r>
      <w:r>
        <w:t xml:space="preserve">Where </w:t>
      </w:r>
      <w:r>
        <w:t>using the Space-by-Space Method, an increase in the interior lighting power allowance is permitted for specific lighting functions. Additional power shall be permitted only where the specified lighting is installed and automatically controlled separately f</w:t>
      </w:r>
      <w:r>
        <w:t>rom the general lighting, to be turned off during nonbusiness hours. This additional power shall be used only for the specified luminaires and shall not be used for any other purpose. An increase in the interior lighting power allowance is permitted in the</w:t>
      </w:r>
      <w:r>
        <w:t xml:space="preserve"> following cases:</w:t>
      </w:r>
    </w:p>
    <w:p w:rsidR="00DC1A65" w:rsidRDefault="00DC1A65">
      <w:pPr>
        <w:pStyle w:val="BodyText"/>
        <w:spacing w:before="3"/>
      </w:pPr>
    </w:p>
    <w:p w:rsidR="000316BB" w:rsidRDefault="000316BB" w:rsidP="000316BB">
      <w:pPr>
        <w:tabs>
          <w:tab w:val="left" w:pos="1959"/>
          <w:tab w:val="left" w:pos="1961"/>
        </w:tabs>
        <w:ind w:left="1960" w:hanging="360"/>
        <w:rPr>
          <w:sz w:val="16"/>
        </w:rPr>
      </w:pPr>
      <w:r>
        <w:rPr>
          <w:spacing w:val="-1"/>
          <w:sz w:val="16"/>
          <w:szCs w:val="16"/>
        </w:rPr>
        <w:t>1.</w:t>
      </w:r>
      <w:r>
        <w:rPr>
          <w:spacing w:val="-1"/>
          <w:sz w:val="16"/>
          <w:szCs w:val="16"/>
        </w:rPr>
        <w:tab/>
      </w:r>
      <w:r>
        <w:pict>
          <v:rect id="_x0000_s1029" style="position:absolute;left:0;text-align:left;margin-left:424.3pt;margin-top:49.85pt;width:2.75pt;height:.35pt;z-index:-1;mso-position-horizontal-relative:page;mso-position-vertical-relative:text" fillcolor="black" stroked="f">
            <w10:wrap anchorx="page"/>
          </v:rect>
        </w:pict>
      </w:r>
      <w:r w:rsidRPr="000316BB">
        <w:rPr>
          <w:sz w:val="16"/>
        </w:rPr>
        <w:t>For</w:t>
      </w:r>
      <w:r w:rsidRPr="000316BB">
        <w:rPr>
          <w:spacing w:val="-3"/>
          <w:sz w:val="16"/>
        </w:rPr>
        <w:t xml:space="preserve"> </w:t>
      </w:r>
      <w:r w:rsidRPr="000316BB">
        <w:rPr>
          <w:sz w:val="16"/>
        </w:rPr>
        <w:t>lighting</w:t>
      </w:r>
      <w:r w:rsidRPr="000316BB">
        <w:rPr>
          <w:spacing w:val="-4"/>
          <w:sz w:val="16"/>
        </w:rPr>
        <w:t xml:space="preserve"> </w:t>
      </w:r>
      <w:r w:rsidRPr="000316BB">
        <w:rPr>
          <w:sz w:val="16"/>
        </w:rPr>
        <w:t>equipment</w:t>
      </w:r>
      <w:r w:rsidRPr="000316BB">
        <w:rPr>
          <w:spacing w:val="-3"/>
          <w:sz w:val="16"/>
        </w:rPr>
        <w:t xml:space="preserve"> </w:t>
      </w:r>
      <w:r w:rsidRPr="000316BB">
        <w:rPr>
          <w:sz w:val="16"/>
        </w:rPr>
        <w:t>to</w:t>
      </w:r>
      <w:r w:rsidRPr="000316BB">
        <w:rPr>
          <w:spacing w:val="-4"/>
          <w:sz w:val="16"/>
        </w:rPr>
        <w:t xml:space="preserve"> </w:t>
      </w:r>
      <w:r w:rsidRPr="000316BB">
        <w:rPr>
          <w:sz w:val="16"/>
        </w:rPr>
        <w:t>be</w:t>
      </w:r>
      <w:r w:rsidRPr="000316BB">
        <w:rPr>
          <w:spacing w:val="-2"/>
          <w:sz w:val="16"/>
        </w:rPr>
        <w:t xml:space="preserve"> </w:t>
      </w:r>
      <w:r w:rsidRPr="000316BB">
        <w:rPr>
          <w:sz w:val="16"/>
        </w:rPr>
        <w:t>installed</w:t>
      </w:r>
      <w:r w:rsidRPr="000316BB">
        <w:rPr>
          <w:spacing w:val="-2"/>
          <w:sz w:val="16"/>
        </w:rPr>
        <w:t xml:space="preserve"> </w:t>
      </w:r>
      <w:r w:rsidRPr="000316BB">
        <w:rPr>
          <w:sz w:val="16"/>
        </w:rPr>
        <w:t>in</w:t>
      </w:r>
      <w:r w:rsidRPr="000316BB">
        <w:rPr>
          <w:spacing w:val="-4"/>
          <w:sz w:val="16"/>
        </w:rPr>
        <w:t xml:space="preserve"> </w:t>
      </w:r>
      <w:r w:rsidRPr="000316BB">
        <w:rPr>
          <w:sz w:val="16"/>
        </w:rPr>
        <w:t>sales</w:t>
      </w:r>
      <w:r w:rsidRPr="000316BB">
        <w:rPr>
          <w:spacing w:val="-2"/>
          <w:sz w:val="16"/>
        </w:rPr>
        <w:t xml:space="preserve"> </w:t>
      </w:r>
      <w:r w:rsidRPr="000316BB">
        <w:rPr>
          <w:sz w:val="16"/>
        </w:rPr>
        <w:t>areas</w:t>
      </w:r>
      <w:r w:rsidRPr="000316BB">
        <w:rPr>
          <w:spacing w:val="-3"/>
          <w:sz w:val="16"/>
        </w:rPr>
        <w:t xml:space="preserve"> </w:t>
      </w:r>
      <w:r w:rsidRPr="000316BB">
        <w:rPr>
          <w:sz w:val="16"/>
        </w:rPr>
        <w:t>specifically</w:t>
      </w:r>
      <w:r w:rsidRPr="000316BB">
        <w:rPr>
          <w:spacing w:val="-5"/>
          <w:sz w:val="16"/>
        </w:rPr>
        <w:t xml:space="preserve"> </w:t>
      </w:r>
      <w:r w:rsidRPr="000316BB">
        <w:rPr>
          <w:sz w:val="16"/>
        </w:rPr>
        <w:t>to</w:t>
      </w:r>
      <w:r w:rsidRPr="000316BB">
        <w:rPr>
          <w:spacing w:val="-2"/>
          <w:sz w:val="16"/>
        </w:rPr>
        <w:t xml:space="preserve"> </w:t>
      </w:r>
      <w:r w:rsidRPr="000316BB">
        <w:rPr>
          <w:sz w:val="16"/>
        </w:rPr>
        <w:t>highlight</w:t>
      </w:r>
      <w:r w:rsidRPr="000316BB">
        <w:rPr>
          <w:spacing w:val="-3"/>
          <w:sz w:val="16"/>
        </w:rPr>
        <w:t xml:space="preserve"> </w:t>
      </w:r>
      <w:r w:rsidRPr="000316BB">
        <w:rPr>
          <w:sz w:val="16"/>
        </w:rPr>
        <w:t>merchandise,</w:t>
      </w:r>
      <w:r w:rsidRPr="000316BB">
        <w:rPr>
          <w:spacing w:val="-3"/>
          <w:sz w:val="16"/>
        </w:rPr>
        <w:t xml:space="preserve"> </w:t>
      </w:r>
      <w:r w:rsidRPr="000316BB">
        <w:rPr>
          <w:sz w:val="16"/>
        </w:rPr>
        <w:t>the</w:t>
      </w:r>
      <w:r w:rsidRPr="000316BB">
        <w:rPr>
          <w:spacing w:val="-2"/>
          <w:sz w:val="16"/>
        </w:rPr>
        <w:t xml:space="preserve"> </w:t>
      </w:r>
      <w:r w:rsidRPr="000316BB">
        <w:rPr>
          <w:sz w:val="16"/>
        </w:rPr>
        <w:t>additional</w:t>
      </w:r>
      <w:r w:rsidRPr="000316BB">
        <w:rPr>
          <w:spacing w:val="-1"/>
          <w:sz w:val="16"/>
        </w:rPr>
        <w:t xml:space="preserve"> </w:t>
      </w:r>
      <w:r w:rsidRPr="000316BB">
        <w:rPr>
          <w:sz w:val="16"/>
        </w:rPr>
        <w:t>lighting</w:t>
      </w:r>
      <w:r w:rsidRPr="000316BB">
        <w:rPr>
          <w:spacing w:val="-2"/>
          <w:sz w:val="16"/>
        </w:rPr>
        <w:t xml:space="preserve"> </w:t>
      </w:r>
      <w:r w:rsidRPr="000316BB">
        <w:rPr>
          <w:sz w:val="16"/>
        </w:rPr>
        <w:t xml:space="preserve">power shall be </w:t>
      </w:r>
    </w:p>
    <w:p w:rsidR="00DC1A65" w:rsidRDefault="000316BB" w:rsidP="000316BB">
      <w:pPr>
        <w:tabs>
          <w:tab w:val="left" w:pos="1959"/>
          <w:tab w:val="left" w:pos="1961"/>
        </w:tabs>
        <w:ind w:left="1960" w:hanging="360"/>
        <w:rPr>
          <w:sz w:val="16"/>
        </w:rPr>
      </w:pPr>
      <w:r>
        <w:rPr>
          <w:sz w:val="16"/>
        </w:rPr>
        <w:tab/>
      </w:r>
      <w:proofErr w:type="gramStart"/>
      <w:r w:rsidRPr="000316BB">
        <w:rPr>
          <w:sz w:val="16"/>
        </w:rPr>
        <w:t>determined</w:t>
      </w:r>
      <w:proofErr w:type="gramEnd"/>
      <w:r w:rsidRPr="000316BB">
        <w:rPr>
          <w:sz w:val="16"/>
        </w:rPr>
        <w:t xml:space="preserve"> in accordance with Equation</w:t>
      </w:r>
      <w:r w:rsidRPr="000316BB">
        <w:rPr>
          <w:spacing w:val="-6"/>
          <w:sz w:val="16"/>
        </w:rPr>
        <w:t xml:space="preserve"> </w:t>
      </w:r>
      <w:r w:rsidRPr="000316BB">
        <w:rPr>
          <w:sz w:val="16"/>
        </w:rPr>
        <w:t>4-10.</w:t>
      </w:r>
    </w:p>
    <w:p w:rsidR="000316BB" w:rsidRPr="000316BB" w:rsidRDefault="000316BB" w:rsidP="000316BB">
      <w:pPr>
        <w:tabs>
          <w:tab w:val="left" w:pos="1959"/>
          <w:tab w:val="left" w:pos="1961"/>
        </w:tabs>
        <w:ind w:left="1960" w:hanging="360"/>
        <w:rPr>
          <w:sz w:val="16"/>
        </w:rPr>
      </w:pPr>
    </w:p>
    <w:p w:rsidR="000316BB" w:rsidRDefault="000316BB" w:rsidP="000316BB">
      <w:pPr>
        <w:pStyle w:val="TableParagraph"/>
        <w:ind w:left="1980" w:right="144"/>
        <w:rPr>
          <w:sz w:val="16"/>
        </w:rPr>
      </w:pPr>
      <w:r>
        <w:rPr>
          <w:sz w:val="16"/>
        </w:rPr>
        <w:t xml:space="preserve">Additional interior lighting power allowance = </w:t>
      </w:r>
      <w:r>
        <w:rPr>
          <w:strike/>
          <w:sz w:val="16"/>
        </w:rPr>
        <w:t>300</w:t>
      </w:r>
      <w:r>
        <w:rPr>
          <w:sz w:val="16"/>
        </w:rPr>
        <w:t xml:space="preserve"> </w:t>
      </w:r>
      <w:r>
        <w:rPr>
          <w:sz w:val="16"/>
          <w:u w:val="single"/>
        </w:rPr>
        <w:t>1000</w:t>
      </w:r>
      <w:r>
        <w:rPr>
          <w:sz w:val="16"/>
        </w:rPr>
        <w:t xml:space="preserve"> W + (</w:t>
      </w:r>
      <w:r>
        <w:rPr>
          <w:i/>
          <w:sz w:val="16"/>
        </w:rPr>
        <w:t xml:space="preserve">Retail Area 1 </w:t>
      </w:r>
      <w:r>
        <w:rPr>
          <w:b/>
          <w:sz w:val="16"/>
        </w:rPr>
        <w:t xml:space="preserve">• </w:t>
      </w:r>
      <w:r>
        <w:rPr>
          <w:strike/>
          <w:sz w:val="16"/>
        </w:rPr>
        <w:t>0.36</w:t>
      </w:r>
      <w:r>
        <w:rPr>
          <w:sz w:val="16"/>
        </w:rPr>
        <w:t xml:space="preserve"> </w:t>
      </w:r>
      <w:r>
        <w:rPr>
          <w:sz w:val="16"/>
          <w:u w:val="single"/>
        </w:rPr>
        <w:t>0.45</w:t>
      </w:r>
      <w:r>
        <w:rPr>
          <w:sz w:val="16"/>
        </w:rPr>
        <w:t xml:space="preserve"> W/ft</w:t>
      </w:r>
      <w:r>
        <w:rPr>
          <w:sz w:val="16"/>
          <w:vertAlign w:val="superscript"/>
        </w:rPr>
        <w:t>2</w:t>
      </w:r>
      <w:r>
        <w:rPr>
          <w:sz w:val="16"/>
        </w:rPr>
        <w:t>) + (</w:t>
      </w:r>
      <w:r>
        <w:rPr>
          <w:i/>
          <w:sz w:val="16"/>
        </w:rPr>
        <w:t xml:space="preserve">Retail Area 2 </w:t>
      </w:r>
      <w:r>
        <w:rPr>
          <w:b/>
          <w:sz w:val="16"/>
        </w:rPr>
        <w:t xml:space="preserve">• </w:t>
      </w:r>
      <w:r>
        <w:rPr>
          <w:strike/>
          <w:sz w:val="16"/>
        </w:rPr>
        <w:t>0.36</w:t>
      </w:r>
      <w:r>
        <w:rPr>
          <w:sz w:val="16"/>
        </w:rPr>
        <w:t xml:space="preserve"> </w:t>
      </w:r>
      <w:r>
        <w:rPr>
          <w:sz w:val="16"/>
          <w:u w:val="single"/>
        </w:rPr>
        <w:t>0.45</w:t>
      </w:r>
      <w:r>
        <w:rPr>
          <w:sz w:val="16"/>
        </w:rPr>
        <w:t xml:space="preserve"> </w:t>
      </w:r>
    </w:p>
    <w:p w:rsidR="000316BB" w:rsidRDefault="000316BB" w:rsidP="000316BB">
      <w:pPr>
        <w:pStyle w:val="TableParagraph"/>
        <w:ind w:left="1980" w:right="144"/>
        <w:rPr>
          <w:sz w:val="16"/>
        </w:rPr>
      </w:pPr>
      <w:r>
        <w:rPr>
          <w:sz w:val="16"/>
        </w:rPr>
        <w:t>W/ft</w:t>
      </w:r>
      <w:r>
        <w:rPr>
          <w:sz w:val="16"/>
          <w:vertAlign w:val="superscript"/>
        </w:rPr>
        <w:t>2</w:t>
      </w:r>
      <w:r>
        <w:rPr>
          <w:sz w:val="16"/>
        </w:rPr>
        <w:t>) + (</w:t>
      </w:r>
      <w:r>
        <w:rPr>
          <w:i/>
          <w:sz w:val="16"/>
        </w:rPr>
        <w:t xml:space="preserve">Retail Area 3 </w:t>
      </w:r>
      <w:r>
        <w:rPr>
          <w:b/>
          <w:strike/>
          <w:sz w:val="16"/>
        </w:rPr>
        <w:t xml:space="preserve">• </w:t>
      </w:r>
      <w:r>
        <w:rPr>
          <w:strike/>
          <w:sz w:val="16"/>
        </w:rPr>
        <w:t>0.84</w:t>
      </w:r>
      <w:r>
        <w:rPr>
          <w:sz w:val="16"/>
        </w:rPr>
        <w:t xml:space="preserve"> 1.05 W/ft</w:t>
      </w:r>
      <w:r>
        <w:rPr>
          <w:sz w:val="16"/>
          <w:vertAlign w:val="superscript"/>
        </w:rPr>
        <w:t>2</w:t>
      </w:r>
      <w:r>
        <w:rPr>
          <w:sz w:val="16"/>
        </w:rPr>
        <w:t>) + (</w:t>
      </w:r>
      <w:r>
        <w:rPr>
          <w:i/>
          <w:sz w:val="16"/>
        </w:rPr>
        <w:t xml:space="preserve">Retail Area 4 </w:t>
      </w:r>
      <w:r>
        <w:rPr>
          <w:b/>
          <w:sz w:val="16"/>
        </w:rPr>
        <w:t xml:space="preserve">• </w:t>
      </w:r>
      <w:r>
        <w:rPr>
          <w:sz w:val="16"/>
        </w:rPr>
        <w:t>1.87 W/ft</w:t>
      </w:r>
      <w:r>
        <w:rPr>
          <w:sz w:val="16"/>
          <w:vertAlign w:val="superscript"/>
        </w:rPr>
        <w:t>2</w:t>
      </w:r>
      <w:r>
        <w:rPr>
          <w:sz w:val="16"/>
        </w:rPr>
        <w:t>)</w:t>
      </w:r>
    </w:p>
    <w:p w:rsidR="000316BB" w:rsidRDefault="000316BB" w:rsidP="000316BB">
      <w:pPr>
        <w:pStyle w:val="TableParagraph"/>
        <w:spacing w:line="183" w:lineRule="exact"/>
        <w:ind w:left="1980" w:right="144"/>
        <w:rPr>
          <w:sz w:val="16"/>
        </w:rPr>
      </w:pPr>
    </w:p>
    <w:p w:rsidR="000316BB" w:rsidRDefault="000316BB" w:rsidP="000316BB">
      <w:pPr>
        <w:pStyle w:val="TableParagraph"/>
        <w:spacing w:line="183" w:lineRule="exact"/>
        <w:ind w:left="1980" w:right="144"/>
        <w:rPr>
          <w:sz w:val="16"/>
        </w:rPr>
      </w:pPr>
      <w:r>
        <w:rPr>
          <w:sz w:val="16"/>
        </w:rPr>
        <w:t>For SI units:</w:t>
      </w:r>
    </w:p>
    <w:p w:rsidR="000316BB" w:rsidRDefault="000316BB" w:rsidP="000316BB">
      <w:pPr>
        <w:pStyle w:val="BodyText"/>
        <w:ind w:left="1980" w:right="144"/>
      </w:pPr>
      <w:r>
        <w:t xml:space="preserve">Additional interior lighting power allowance = </w:t>
      </w:r>
      <w:r>
        <w:rPr>
          <w:strike/>
        </w:rPr>
        <w:t xml:space="preserve">300 </w:t>
      </w:r>
      <w:r>
        <w:rPr>
          <w:u w:val="single"/>
        </w:rPr>
        <w:t>1000</w:t>
      </w:r>
      <w:r>
        <w:t xml:space="preserve"> W + (</w:t>
      </w:r>
      <w:r>
        <w:rPr>
          <w:i/>
        </w:rPr>
        <w:t xml:space="preserve">Retail Area 1 </w:t>
      </w:r>
      <w:r>
        <w:rPr>
          <w:b/>
        </w:rPr>
        <w:t xml:space="preserve">• </w:t>
      </w:r>
      <w:r>
        <w:rPr>
          <w:b/>
          <w:strike/>
        </w:rPr>
        <w:t>3.87</w:t>
      </w:r>
      <w:r>
        <w:rPr>
          <w:b/>
        </w:rPr>
        <w:t xml:space="preserve"> </w:t>
      </w:r>
      <w:r w:rsidRPr="000316BB">
        <w:rPr>
          <w:u w:val="single"/>
        </w:rPr>
        <w:t>4.8 W/m</w:t>
      </w:r>
      <w:r w:rsidRPr="000316BB">
        <w:rPr>
          <w:u w:val="single"/>
          <w:vertAlign w:val="superscript"/>
        </w:rPr>
        <w:t>2</w:t>
      </w:r>
      <w:r w:rsidRPr="000316BB">
        <w:rPr>
          <w:u w:val="single"/>
        </w:rPr>
        <w:t>) + (</w:t>
      </w:r>
      <w:r w:rsidRPr="000316BB">
        <w:rPr>
          <w:i/>
          <w:u w:val="single"/>
        </w:rPr>
        <w:t xml:space="preserve">Retail Area 2 </w:t>
      </w:r>
      <w:r w:rsidRPr="000316BB">
        <w:rPr>
          <w:b/>
          <w:u w:val="single"/>
        </w:rPr>
        <w:t xml:space="preserve">• </w:t>
      </w:r>
      <w:r w:rsidRPr="000316BB">
        <w:rPr>
          <w:u w:val="single"/>
        </w:rPr>
        <w:t>4.84 W/m</w:t>
      </w:r>
      <w:r w:rsidRPr="000316BB">
        <w:rPr>
          <w:u w:val="single"/>
          <w:vertAlign w:val="superscript"/>
        </w:rPr>
        <w:t>2</w:t>
      </w:r>
      <w:r>
        <w:t xml:space="preserve">) + </w:t>
      </w:r>
    </w:p>
    <w:p w:rsidR="00DC1A65" w:rsidRDefault="000316BB" w:rsidP="000316BB">
      <w:pPr>
        <w:pStyle w:val="BodyText"/>
        <w:ind w:left="1980" w:right="144"/>
        <w:rPr>
          <w:strike/>
        </w:rPr>
      </w:pPr>
      <w:r w:rsidRPr="000316BB">
        <w:rPr>
          <w:u w:val="single"/>
        </w:rPr>
        <w:t>(</w:t>
      </w:r>
      <w:r w:rsidRPr="000316BB">
        <w:rPr>
          <w:i/>
          <w:u w:val="single"/>
        </w:rPr>
        <w:t xml:space="preserve">Retail Area 3 </w:t>
      </w:r>
      <w:r w:rsidRPr="000316BB">
        <w:rPr>
          <w:b/>
          <w:u w:val="single"/>
        </w:rPr>
        <w:t xml:space="preserve">• </w:t>
      </w:r>
      <w:r w:rsidRPr="000316BB">
        <w:rPr>
          <w:u w:val="single"/>
        </w:rPr>
        <w:t>11</w:t>
      </w:r>
      <w:r>
        <w:t xml:space="preserve"> W/m</w:t>
      </w:r>
      <w:r>
        <w:rPr>
          <w:vertAlign w:val="superscript"/>
        </w:rPr>
        <w:t>2</w:t>
      </w:r>
      <w:r>
        <w:t>) + (</w:t>
      </w:r>
      <w:r>
        <w:rPr>
          <w:i/>
        </w:rPr>
        <w:t xml:space="preserve">Retail Area </w:t>
      </w:r>
      <w:r>
        <w:rPr>
          <w:i/>
          <w:strike/>
        </w:rPr>
        <w:t>2</w:t>
      </w:r>
      <w:r>
        <w:rPr>
          <w:i/>
        </w:rPr>
        <w:t xml:space="preserve"> </w:t>
      </w:r>
      <w:r>
        <w:rPr>
          <w:i/>
          <w:u w:val="single"/>
        </w:rPr>
        <w:t>4</w:t>
      </w:r>
      <w:r>
        <w:rPr>
          <w:i/>
        </w:rPr>
        <w:t xml:space="preserve"> </w:t>
      </w:r>
      <w:r>
        <w:rPr>
          <w:b/>
        </w:rPr>
        <w:t xml:space="preserve">• </w:t>
      </w:r>
      <w:r>
        <w:rPr>
          <w:strike/>
        </w:rPr>
        <w:t xml:space="preserve">3.87 </w:t>
      </w:r>
      <w:r>
        <w:rPr>
          <w:u w:val="single"/>
        </w:rPr>
        <w:t>20</w:t>
      </w:r>
      <w:r>
        <w:t xml:space="preserve"> W/m</w:t>
      </w:r>
      <w:r>
        <w:rPr>
          <w:vertAlign w:val="superscript"/>
        </w:rPr>
        <w:t>2</w:t>
      </w:r>
      <w:r>
        <w:t xml:space="preserve">) </w:t>
      </w:r>
      <w:r>
        <w:rPr>
          <w:strike/>
        </w:rPr>
        <w:t>+ (Retail Area 3 • 9.04 W/m2) + (Retail Area4 • 20.1 W/m2)</w:t>
      </w:r>
    </w:p>
    <w:p w:rsidR="000316BB" w:rsidRDefault="000316BB" w:rsidP="000316BB">
      <w:pPr>
        <w:pStyle w:val="BodyText"/>
        <w:ind w:left="1980" w:right="144"/>
        <w:rPr>
          <w:strike/>
        </w:rPr>
      </w:pPr>
    </w:p>
    <w:p w:rsidR="000316BB" w:rsidRDefault="000316BB" w:rsidP="000316BB">
      <w:pPr>
        <w:pStyle w:val="BodyText"/>
        <w:ind w:left="1980" w:right="144"/>
        <w:rPr>
          <w:sz w:val="18"/>
        </w:rPr>
      </w:pPr>
      <w:r>
        <w:rPr>
          <w:b/>
        </w:rPr>
        <w:t>(Equation 4-10)</w:t>
      </w:r>
    </w:p>
    <w:p w:rsidR="00DC1A65" w:rsidRDefault="000316BB">
      <w:pPr>
        <w:pStyle w:val="BodyText"/>
        <w:spacing w:before="140"/>
        <w:ind w:left="1960"/>
      </w:pPr>
      <w:proofErr w:type="gramStart"/>
      <w:r>
        <w:t>where</w:t>
      </w:r>
      <w:proofErr w:type="gramEnd"/>
      <w:r>
        <w:t>:</w:t>
      </w:r>
    </w:p>
    <w:p w:rsidR="00DC1A65" w:rsidRDefault="00DC1A65">
      <w:pPr>
        <w:pStyle w:val="BodyText"/>
        <w:spacing w:before="6"/>
      </w:pPr>
    </w:p>
    <w:tbl>
      <w:tblPr>
        <w:tblW w:w="0" w:type="auto"/>
        <w:tblInd w:w="1767" w:type="dxa"/>
        <w:tblLayout w:type="fixed"/>
        <w:tblCellMar>
          <w:left w:w="0" w:type="dxa"/>
          <w:right w:w="0" w:type="dxa"/>
        </w:tblCellMar>
        <w:tblLook w:val="01E0" w:firstRow="1" w:lastRow="1" w:firstColumn="1" w:lastColumn="1" w:noHBand="0" w:noVBand="0"/>
      </w:tblPr>
      <w:tblGrid>
        <w:gridCol w:w="1137"/>
        <w:gridCol w:w="207"/>
        <w:gridCol w:w="5195"/>
      </w:tblGrid>
      <w:tr w:rsidR="00DC1A65">
        <w:trPr>
          <w:trHeight w:val="181"/>
        </w:trPr>
        <w:tc>
          <w:tcPr>
            <w:tcW w:w="1137" w:type="dxa"/>
          </w:tcPr>
          <w:p w:rsidR="00DC1A65" w:rsidRDefault="000316BB">
            <w:pPr>
              <w:pStyle w:val="TableParagraph"/>
              <w:spacing w:line="161" w:lineRule="exact"/>
              <w:ind w:left="0" w:right="8"/>
              <w:jc w:val="right"/>
              <w:rPr>
                <w:i/>
                <w:sz w:val="16"/>
              </w:rPr>
            </w:pPr>
            <w:r>
              <w:rPr>
                <w:i/>
                <w:sz w:val="16"/>
              </w:rPr>
              <w:t>Retail Area 1</w:t>
            </w:r>
          </w:p>
        </w:tc>
        <w:tc>
          <w:tcPr>
            <w:tcW w:w="207" w:type="dxa"/>
          </w:tcPr>
          <w:p w:rsidR="00DC1A65" w:rsidRDefault="000316BB">
            <w:pPr>
              <w:pStyle w:val="TableParagraph"/>
              <w:spacing w:line="161" w:lineRule="exact"/>
              <w:ind w:left="11"/>
              <w:rPr>
                <w:sz w:val="16"/>
              </w:rPr>
            </w:pPr>
            <w:r>
              <w:rPr>
                <w:sz w:val="16"/>
              </w:rPr>
              <w:t>=</w:t>
            </w:r>
          </w:p>
        </w:tc>
        <w:tc>
          <w:tcPr>
            <w:tcW w:w="5195" w:type="dxa"/>
          </w:tcPr>
          <w:p w:rsidR="00DC1A65" w:rsidRDefault="000316BB">
            <w:pPr>
              <w:pStyle w:val="TableParagraph"/>
              <w:spacing w:line="161" w:lineRule="exact"/>
              <w:rPr>
                <w:sz w:val="16"/>
              </w:rPr>
            </w:pPr>
            <w:r>
              <w:rPr>
                <w:sz w:val="16"/>
              </w:rPr>
              <w:t>The floor area for all products not listed in Retail Area 2, 3 or 4.</w:t>
            </w:r>
          </w:p>
        </w:tc>
      </w:tr>
      <w:tr w:rsidR="00DC1A65">
        <w:trPr>
          <w:trHeight w:val="368"/>
        </w:trPr>
        <w:tc>
          <w:tcPr>
            <w:tcW w:w="1137" w:type="dxa"/>
          </w:tcPr>
          <w:p w:rsidR="00DC1A65" w:rsidRDefault="000316BB">
            <w:pPr>
              <w:pStyle w:val="TableParagraph"/>
              <w:spacing w:before="90"/>
              <w:ind w:left="0" w:right="8"/>
              <w:jc w:val="right"/>
              <w:rPr>
                <w:i/>
                <w:sz w:val="16"/>
              </w:rPr>
            </w:pPr>
            <w:r>
              <w:rPr>
                <w:i/>
                <w:sz w:val="16"/>
              </w:rPr>
              <w:t>Retail Area 2</w:t>
            </w:r>
          </w:p>
        </w:tc>
        <w:tc>
          <w:tcPr>
            <w:tcW w:w="207" w:type="dxa"/>
          </w:tcPr>
          <w:p w:rsidR="00DC1A65" w:rsidRDefault="000316BB">
            <w:pPr>
              <w:pStyle w:val="TableParagraph"/>
              <w:spacing w:before="90"/>
              <w:ind w:left="11"/>
              <w:rPr>
                <w:sz w:val="16"/>
              </w:rPr>
            </w:pPr>
            <w:r>
              <w:rPr>
                <w:sz w:val="16"/>
              </w:rPr>
              <w:t>=</w:t>
            </w:r>
          </w:p>
        </w:tc>
        <w:tc>
          <w:tcPr>
            <w:tcW w:w="5195" w:type="dxa"/>
          </w:tcPr>
          <w:p w:rsidR="00DC1A65" w:rsidRDefault="000316BB">
            <w:pPr>
              <w:pStyle w:val="TableParagraph"/>
              <w:spacing w:line="181" w:lineRule="exact"/>
              <w:rPr>
                <w:sz w:val="16"/>
              </w:rPr>
            </w:pPr>
            <w:r>
              <w:rPr>
                <w:sz w:val="16"/>
              </w:rPr>
              <w:t>The floor area used for the sale of vehicles, sporting goods and small</w:t>
            </w:r>
          </w:p>
          <w:p w:rsidR="00DC1A65" w:rsidRDefault="000316BB">
            <w:pPr>
              <w:pStyle w:val="TableParagraph"/>
              <w:spacing w:before="1" w:line="167" w:lineRule="exact"/>
              <w:rPr>
                <w:sz w:val="16"/>
              </w:rPr>
            </w:pPr>
            <w:proofErr w:type="gramStart"/>
            <w:r>
              <w:rPr>
                <w:sz w:val="16"/>
              </w:rPr>
              <w:t>electronics</w:t>
            </w:r>
            <w:proofErr w:type="gramEnd"/>
            <w:r>
              <w:rPr>
                <w:sz w:val="16"/>
              </w:rPr>
              <w:t>.</w:t>
            </w:r>
          </w:p>
        </w:tc>
      </w:tr>
      <w:tr w:rsidR="00DC1A65">
        <w:trPr>
          <w:trHeight w:val="367"/>
        </w:trPr>
        <w:tc>
          <w:tcPr>
            <w:tcW w:w="1137" w:type="dxa"/>
          </w:tcPr>
          <w:p w:rsidR="00DC1A65" w:rsidRDefault="000316BB">
            <w:pPr>
              <w:pStyle w:val="TableParagraph"/>
              <w:spacing w:before="89"/>
              <w:ind w:left="0" w:right="8"/>
              <w:jc w:val="right"/>
              <w:rPr>
                <w:i/>
                <w:sz w:val="16"/>
              </w:rPr>
            </w:pPr>
            <w:r>
              <w:rPr>
                <w:i/>
                <w:sz w:val="16"/>
              </w:rPr>
              <w:t>Retail Area 3</w:t>
            </w:r>
          </w:p>
        </w:tc>
        <w:tc>
          <w:tcPr>
            <w:tcW w:w="207" w:type="dxa"/>
          </w:tcPr>
          <w:p w:rsidR="00DC1A65" w:rsidRDefault="000316BB">
            <w:pPr>
              <w:pStyle w:val="TableParagraph"/>
              <w:spacing w:before="89"/>
              <w:ind w:left="11"/>
              <w:rPr>
                <w:sz w:val="16"/>
              </w:rPr>
            </w:pPr>
            <w:r>
              <w:rPr>
                <w:sz w:val="16"/>
              </w:rPr>
              <w:t>=</w:t>
            </w:r>
          </w:p>
        </w:tc>
        <w:tc>
          <w:tcPr>
            <w:tcW w:w="5195" w:type="dxa"/>
          </w:tcPr>
          <w:p w:rsidR="00DC1A65" w:rsidRDefault="000316BB">
            <w:pPr>
              <w:pStyle w:val="TableParagraph"/>
              <w:spacing w:before="2" w:line="182" w:lineRule="exact"/>
              <w:ind w:right="286"/>
              <w:rPr>
                <w:sz w:val="16"/>
              </w:rPr>
            </w:pPr>
            <w:r>
              <w:rPr>
                <w:sz w:val="16"/>
              </w:rPr>
              <w:t>The floor area used for the sale of furniture, clothing, cosmetics and artwork.</w:t>
            </w:r>
          </w:p>
        </w:tc>
      </w:tr>
      <w:tr w:rsidR="00DC1A65">
        <w:trPr>
          <w:trHeight w:val="182"/>
        </w:trPr>
        <w:tc>
          <w:tcPr>
            <w:tcW w:w="1137" w:type="dxa"/>
          </w:tcPr>
          <w:p w:rsidR="00DC1A65" w:rsidRDefault="000316BB">
            <w:pPr>
              <w:pStyle w:val="TableParagraph"/>
              <w:spacing w:line="162" w:lineRule="exact"/>
              <w:ind w:left="0" w:right="8"/>
              <w:jc w:val="right"/>
              <w:rPr>
                <w:i/>
                <w:sz w:val="16"/>
              </w:rPr>
            </w:pPr>
            <w:r>
              <w:rPr>
                <w:i/>
                <w:sz w:val="16"/>
              </w:rPr>
              <w:t>Retail Area 4</w:t>
            </w:r>
          </w:p>
        </w:tc>
        <w:tc>
          <w:tcPr>
            <w:tcW w:w="207" w:type="dxa"/>
          </w:tcPr>
          <w:p w:rsidR="00DC1A65" w:rsidRDefault="000316BB">
            <w:pPr>
              <w:pStyle w:val="TableParagraph"/>
              <w:spacing w:line="162" w:lineRule="exact"/>
              <w:ind w:left="11"/>
              <w:rPr>
                <w:sz w:val="16"/>
              </w:rPr>
            </w:pPr>
            <w:r>
              <w:rPr>
                <w:sz w:val="16"/>
              </w:rPr>
              <w:t>=</w:t>
            </w:r>
          </w:p>
        </w:tc>
        <w:tc>
          <w:tcPr>
            <w:tcW w:w="5195" w:type="dxa"/>
          </w:tcPr>
          <w:p w:rsidR="00DC1A65" w:rsidRDefault="000316BB">
            <w:pPr>
              <w:pStyle w:val="TableParagraph"/>
              <w:spacing w:line="162" w:lineRule="exact"/>
              <w:rPr>
                <w:sz w:val="16"/>
              </w:rPr>
            </w:pPr>
            <w:r>
              <w:rPr>
                <w:sz w:val="16"/>
              </w:rPr>
              <w:t>The floor area used for the sale of jewelry, crystal and china.</w:t>
            </w:r>
          </w:p>
        </w:tc>
      </w:tr>
    </w:tbl>
    <w:p w:rsidR="00DC1A65" w:rsidRDefault="00DC1A65">
      <w:pPr>
        <w:pStyle w:val="BodyText"/>
        <w:spacing w:before="8"/>
        <w:rPr>
          <w:sz w:val="15"/>
        </w:rPr>
      </w:pPr>
    </w:p>
    <w:p w:rsidR="00DC1A65" w:rsidRDefault="000316BB">
      <w:pPr>
        <w:pStyle w:val="BodyText"/>
        <w:spacing w:line="242" w:lineRule="auto"/>
        <w:ind w:left="1960" w:right="1830"/>
      </w:pPr>
      <w:r>
        <w:rPr>
          <w:b/>
        </w:rPr>
        <w:t xml:space="preserve">Exception: </w:t>
      </w:r>
      <w:r>
        <w:t xml:space="preserve">Other merchandise categories are permitted to be included in Retail Areas 2 through 4, provided that justification documenting the need for additional lighting power based on visual inspection, contrast, or other critical display is </w:t>
      </w:r>
      <w:r>
        <w:rPr>
          <w:i/>
        </w:rPr>
        <w:t xml:space="preserve">approved </w:t>
      </w:r>
      <w:r>
        <w:t>by the code of</w:t>
      </w:r>
      <w:r>
        <w:t>ficial.</w:t>
      </w:r>
    </w:p>
    <w:p w:rsidR="00DC1A65" w:rsidRDefault="00DC1A65">
      <w:pPr>
        <w:pStyle w:val="BodyText"/>
        <w:spacing w:before="9"/>
        <w:rPr>
          <w:sz w:val="15"/>
        </w:rPr>
      </w:pPr>
    </w:p>
    <w:p w:rsidR="00DC1A65" w:rsidRPr="000316BB" w:rsidRDefault="000316BB" w:rsidP="000316BB">
      <w:pPr>
        <w:tabs>
          <w:tab w:val="left" w:pos="1959"/>
          <w:tab w:val="left" w:pos="1961"/>
        </w:tabs>
        <w:ind w:left="1960" w:right="1712" w:hanging="360"/>
        <w:rPr>
          <w:sz w:val="16"/>
        </w:rPr>
      </w:pPr>
      <w:r>
        <w:rPr>
          <w:spacing w:val="-1"/>
          <w:sz w:val="16"/>
          <w:szCs w:val="16"/>
        </w:rPr>
        <w:t>2.</w:t>
      </w:r>
      <w:r>
        <w:rPr>
          <w:spacing w:val="-1"/>
          <w:sz w:val="16"/>
          <w:szCs w:val="16"/>
        </w:rPr>
        <w:tab/>
      </w:r>
      <w:r w:rsidRPr="000316BB">
        <w:rPr>
          <w:sz w:val="16"/>
        </w:rPr>
        <w:t>For spaces in which lighting is specified to be installed in addition to the general lighting for the purpose of decorative appearance or for highlighting art or exhibits, provided that the additional lighting power shall be not more than 1.0 W/ft</w:t>
      </w:r>
      <w:r w:rsidRPr="000316BB">
        <w:rPr>
          <w:sz w:val="16"/>
          <w:vertAlign w:val="superscript"/>
        </w:rPr>
        <w:t>2</w:t>
      </w:r>
      <w:r w:rsidRPr="000316BB">
        <w:rPr>
          <w:sz w:val="16"/>
        </w:rPr>
        <w:t xml:space="preserve"> (10.7 W/m</w:t>
      </w:r>
      <w:r w:rsidRPr="000316BB">
        <w:rPr>
          <w:sz w:val="16"/>
          <w:vertAlign w:val="superscript"/>
        </w:rPr>
        <w:t>2</w:t>
      </w:r>
      <w:r w:rsidRPr="000316BB">
        <w:rPr>
          <w:sz w:val="16"/>
        </w:rPr>
        <w:t>) of such</w:t>
      </w:r>
      <w:r w:rsidRPr="000316BB">
        <w:rPr>
          <w:spacing w:val="-5"/>
          <w:sz w:val="16"/>
        </w:rPr>
        <w:t xml:space="preserve"> </w:t>
      </w:r>
      <w:r w:rsidRPr="000316BB">
        <w:rPr>
          <w:sz w:val="16"/>
        </w:rPr>
        <w:t>spaces.</w:t>
      </w:r>
    </w:p>
    <w:p w:rsidR="00DC1A65" w:rsidRDefault="00DC1A65">
      <w:pPr>
        <w:pStyle w:val="BodyText"/>
        <w:spacing w:before="10"/>
        <w:rPr>
          <w:sz w:val="15"/>
        </w:rPr>
      </w:pPr>
    </w:p>
    <w:p w:rsidR="00DC1A65" w:rsidRDefault="00DC1A65">
      <w:pPr>
        <w:pStyle w:val="BodyText"/>
        <w:rPr>
          <w:sz w:val="20"/>
        </w:rPr>
      </w:pPr>
    </w:p>
    <w:sectPr w:rsidR="00DC1A65">
      <w:type w:val="continuous"/>
      <w:pgSz w:w="12240" w:h="15840"/>
      <w:pgMar w:top="1360" w:right="10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751E"/>
    <w:multiLevelType w:val="hybridMultilevel"/>
    <w:tmpl w:val="B024DD90"/>
    <w:lvl w:ilvl="0" w:tplc="8F02D2CC">
      <w:start w:val="1"/>
      <w:numFmt w:val="decimal"/>
      <w:lvlText w:val="%1."/>
      <w:lvlJc w:val="left"/>
      <w:pPr>
        <w:ind w:left="1960" w:hanging="361"/>
        <w:jc w:val="left"/>
      </w:pPr>
      <w:rPr>
        <w:rFonts w:ascii="Arial" w:eastAsia="Arial" w:hAnsi="Arial" w:cs="Arial" w:hint="default"/>
        <w:spacing w:val="-1"/>
        <w:w w:val="100"/>
        <w:sz w:val="16"/>
        <w:szCs w:val="16"/>
      </w:rPr>
    </w:lvl>
    <w:lvl w:ilvl="1" w:tplc="57561170">
      <w:numFmt w:val="bullet"/>
      <w:lvlText w:val="•"/>
      <w:lvlJc w:val="left"/>
      <w:pPr>
        <w:ind w:left="2958" w:hanging="361"/>
      </w:pPr>
      <w:rPr>
        <w:rFonts w:hint="default"/>
      </w:rPr>
    </w:lvl>
    <w:lvl w:ilvl="2" w:tplc="7B586A74">
      <w:numFmt w:val="bullet"/>
      <w:lvlText w:val="•"/>
      <w:lvlJc w:val="left"/>
      <w:pPr>
        <w:ind w:left="3956" w:hanging="361"/>
      </w:pPr>
      <w:rPr>
        <w:rFonts w:hint="default"/>
      </w:rPr>
    </w:lvl>
    <w:lvl w:ilvl="3" w:tplc="544C6310">
      <w:numFmt w:val="bullet"/>
      <w:lvlText w:val="•"/>
      <w:lvlJc w:val="left"/>
      <w:pPr>
        <w:ind w:left="4954" w:hanging="361"/>
      </w:pPr>
      <w:rPr>
        <w:rFonts w:hint="default"/>
      </w:rPr>
    </w:lvl>
    <w:lvl w:ilvl="4" w:tplc="D0C8234E">
      <w:numFmt w:val="bullet"/>
      <w:lvlText w:val="•"/>
      <w:lvlJc w:val="left"/>
      <w:pPr>
        <w:ind w:left="5952" w:hanging="361"/>
      </w:pPr>
      <w:rPr>
        <w:rFonts w:hint="default"/>
      </w:rPr>
    </w:lvl>
    <w:lvl w:ilvl="5" w:tplc="C916FF9E">
      <w:numFmt w:val="bullet"/>
      <w:lvlText w:val="•"/>
      <w:lvlJc w:val="left"/>
      <w:pPr>
        <w:ind w:left="6950" w:hanging="361"/>
      </w:pPr>
      <w:rPr>
        <w:rFonts w:hint="default"/>
      </w:rPr>
    </w:lvl>
    <w:lvl w:ilvl="6" w:tplc="178CBF5E">
      <w:numFmt w:val="bullet"/>
      <w:lvlText w:val="•"/>
      <w:lvlJc w:val="left"/>
      <w:pPr>
        <w:ind w:left="7948" w:hanging="361"/>
      </w:pPr>
      <w:rPr>
        <w:rFonts w:hint="default"/>
      </w:rPr>
    </w:lvl>
    <w:lvl w:ilvl="7" w:tplc="22800918">
      <w:numFmt w:val="bullet"/>
      <w:lvlText w:val="•"/>
      <w:lvlJc w:val="left"/>
      <w:pPr>
        <w:ind w:left="8946" w:hanging="361"/>
      </w:pPr>
      <w:rPr>
        <w:rFonts w:hint="default"/>
      </w:rPr>
    </w:lvl>
    <w:lvl w:ilvl="8" w:tplc="47EC9E28">
      <w:numFmt w:val="bullet"/>
      <w:lvlText w:val="•"/>
      <w:lvlJc w:val="left"/>
      <w:pPr>
        <w:ind w:left="994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A65"/>
    <w:rsid w:val="000316BB"/>
    <w:rsid w:val="00DC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paragraph" w:styleId="Heading1">
    <w:name w:val="heading 1"/>
    <w:basedOn w:val="Normal"/>
    <w:uiPriority w:val="1"/>
    <w:qFormat/>
    <w:pPr>
      <w:ind w:left="12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960" w:right="1665" w:hanging="360"/>
    </w:pPr>
  </w:style>
  <w:style w:type="paragraph" w:customStyle="1" w:styleId="TableParagraph">
    <w:name w:val="Table Paragraph"/>
    <w:basedOn w:val="Normal"/>
    <w:uiPriority w:val="1"/>
    <w:qFormat/>
    <w:pPr>
      <w:ind w:left="1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Dynice Broadnax</dc:creator>
  <cp:lastModifiedBy>DBPR User</cp:lastModifiedBy>
  <cp:revision>2</cp:revision>
  <dcterms:created xsi:type="dcterms:W3CDTF">2020-02-19T13:54:00Z</dcterms:created>
  <dcterms:modified xsi:type="dcterms:W3CDTF">2020-02-19T13:54:00Z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Appligent StampPDF Batch 6.5</vt:lpwstr>
  </property>
  <property fmtid="{D5CDD505-2E9C-101B-9397-08002B2CF9AE}" pid="4" name="LastSaved">
    <vt:filetime>2020-02-19T00:00:00Z</vt:filetime>
  </property>
</Properties>
</file>