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B823F" w14:textId="77777777" w:rsidR="0091423B" w:rsidRDefault="0091423B" w:rsidP="0009294A">
      <w:pPr>
        <w:widowControl w:val="0"/>
        <w:autoSpaceDE w:val="0"/>
        <w:autoSpaceDN w:val="0"/>
        <w:ind w:left="180" w:right="162"/>
        <w:rPr>
          <w:rFonts w:cs="Arial"/>
          <w:b/>
          <w:szCs w:val="22"/>
        </w:rPr>
      </w:pPr>
      <w:bookmarkStart w:id="0" w:name="_GoBack"/>
    </w:p>
    <w:bookmarkEnd w:id="0"/>
    <w:p w14:paraId="22A04C3B" w14:textId="77777777" w:rsidR="0091423B" w:rsidRDefault="0091423B" w:rsidP="0009294A">
      <w:pPr>
        <w:widowControl w:val="0"/>
        <w:autoSpaceDE w:val="0"/>
        <w:autoSpaceDN w:val="0"/>
        <w:ind w:left="180" w:right="162"/>
        <w:rPr>
          <w:rFonts w:cs="Arial"/>
          <w:b/>
          <w:szCs w:val="22"/>
        </w:rPr>
      </w:pPr>
    </w:p>
    <w:p w14:paraId="22526E27" w14:textId="77777777" w:rsidR="0091423B" w:rsidRDefault="0091423B" w:rsidP="0091423B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Revise as follows:</w:t>
      </w:r>
    </w:p>
    <w:p w14:paraId="122D4036" w14:textId="77777777" w:rsidR="0091423B" w:rsidRDefault="0091423B" w:rsidP="0091423B">
      <w:pPr>
        <w:pStyle w:val="NormalWeb"/>
        <w:shd w:val="clear" w:color="auto" w:fill="FFFFFF"/>
        <w:rPr>
          <w:rFonts w:ascii="Verdana" w:hAnsi="Verdana"/>
          <w:color w:val="000000"/>
        </w:rPr>
      </w:pPr>
      <w:proofErr w:type="gramStart"/>
      <w:r>
        <w:rPr>
          <w:rStyle w:val="Strong"/>
          <w:color w:val="000000"/>
          <w:sz w:val="22"/>
          <w:szCs w:val="22"/>
        </w:rPr>
        <w:t>R703.1.2.1 Wind resistance of soffits.</w:t>
      </w:r>
      <w:proofErr w:type="gramEnd"/>
      <w:r>
        <w:rPr>
          <w:color w:val="000000"/>
          <w:sz w:val="22"/>
          <w:szCs w:val="22"/>
        </w:rPr>
        <w:t> Soffits and their attachments shall </w:t>
      </w:r>
      <w:r>
        <w:rPr>
          <w:color w:val="000000"/>
          <w:sz w:val="22"/>
          <w:szCs w:val="22"/>
          <w:u w:val="single"/>
        </w:rPr>
        <w:t>comply with Section R704.</w:t>
      </w:r>
      <w:r>
        <w:rPr>
          <w:strike/>
          <w:color w:val="000000"/>
          <w:sz w:val="22"/>
          <w:szCs w:val="22"/>
        </w:rPr>
        <w:t> </w:t>
      </w:r>
      <w:proofErr w:type="gramStart"/>
      <w:r>
        <w:rPr>
          <w:strike/>
          <w:color w:val="000000"/>
          <w:sz w:val="22"/>
          <w:szCs w:val="22"/>
        </w:rPr>
        <w:t>be</w:t>
      </w:r>
      <w:proofErr w:type="gramEnd"/>
      <w:r>
        <w:rPr>
          <w:strike/>
          <w:color w:val="000000"/>
          <w:sz w:val="22"/>
          <w:szCs w:val="22"/>
        </w:rPr>
        <w:t xml:space="preserve"> capable of resisting wind loads specified in Tables R301.2(2) and R301.2(3) for walls using an effective wind area of 10 square feet.</w:t>
      </w:r>
    </w:p>
    <w:p w14:paraId="6D050B51" w14:textId="36A103A0" w:rsidR="0091423B" w:rsidRDefault="0091423B" w:rsidP="0091423B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color w:val="000000"/>
          <w:sz w:val="22"/>
          <w:szCs w:val="22"/>
        </w:rPr>
        <w:br/>
      </w:r>
      <w:r>
        <w:rPr>
          <w:rStyle w:val="Strong"/>
          <w:rFonts w:ascii="Verdana" w:hAnsi="Verdana"/>
          <w:color w:val="000000"/>
        </w:rPr>
        <w:t>Delete without substitution:</w:t>
      </w:r>
    </w:p>
    <w:p w14:paraId="31B63877" w14:textId="5A14D529" w:rsidR="0091423B" w:rsidRDefault="0091423B" w:rsidP="0091423B">
      <w:pPr>
        <w:pStyle w:val="NormalWeb"/>
        <w:shd w:val="clear" w:color="auto" w:fill="FFFFFF"/>
        <w:rPr>
          <w:rFonts w:ascii="Verdana" w:hAnsi="Verdana"/>
          <w:color w:val="000000"/>
        </w:rPr>
      </w:pPr>
      <w:proofErr w:type="gramStart"/>
      <w:r>
        <w:rPr>
          <w:rStyle w:val="Strong"/>
          <w:strike/>
          <w:color w:val="000000"/>
          <w:sz w:val="22"/>
          <w:szCs w:val="22"/>
        </w:rPr>
        <w:t>R703.11.1.4 Vinyl soffit panels.</w:t>
      </w:r>
      <w:proofErr w:type="gramEnd"/>
      <w:r>
        <w:rPr>
          <w:rStyle w:val="Strong"/>
          <w:strike/>
          <w:color w:val="000000"/>
          <w:sz w:val="22"/>
          <w:szCs w:val="22"/>
        </w:rPr>
        <w:t> </w:t>
      </w:r>
      <w:r>
        <w:rPr>
          <w:strike/>
          <w:color w:val="000000"/>
          <w:sz w:val="22"/>
          <w:szCs w:val="22"/>
        </w:rPr>
        <w:t>Soffit panels shall be individually fastened to a supporting component such as a nailing strip, fascia or sub</w:t>
      </w:r>
      <w:r>
        <w:rPr>
          <w:strike/>
          <w:color w:val="000000"/>
          <w:sz w:val="22"/>
          <w:szCs w:val="22"/>
        </w:rPr>
        <w:t xml:space="preserve"> </w:t>
      </w:r>
      <w:r>
        <w:rPr>
          <w:strike/>
          <w:color w:val="000000"/>
          <w:sz w:val="22"/>
          <w:szCs w:val="22"/>
        </w:rPr>
        <w:t>fascia component or as specified by the manufacturer’s instructions.</w:t>
      </w:r>
    </w:p>
    <w:p w14:paraId="6EF0C7A2" w14:textId="07CE71F5" w:rsidR="0091423B" w:rsidRPr="0091423B" w:rsidRDefault="0091423B" w:rsidP="0009294A">
      <w:pPr>
        <w:widowControl w:val="0"/>
        <w:autoSpaceDE w:val="0"/>
        <w:autoSpaceDN w:val="0"/>
        <w:ind w:left="180" w:right="162"/>
        <w:rPr>
          <w:rFonts w:cs="Arial"/>
          <w:color w:val="FF0000"/>
          <w:sz w:val="24"/>
          <w:szCs w:val="24"/>
        </w:rPr>
      </w:pPr>
      <w:r w:rsidRPr="0091423B">
        <w:rPr>
          <w:rFonts w:cs="Arial"/>
          <w:color w:val="FF0000"/>
          <w:sz w:val="24"/>
          <w:szCs w:val="24"/>
        </w:rPr>
        <w:t>(S7821)</w:t>
      </w:r>
    </w:p>
    <w:p w14:paraId="16EFC7BE" w14:textId="77777777" w:rsidR="0091423B" w:rsidRPr="0091423B" w:rsidRDefault="0091423B" w:rsidP="0009294A">
      <w:pPr>
        <w:widowControl w:val="0"/>
        <w:autoSpaceDE w:val="0"/>
        <w:autoSpaceDN w:val="0"/>
        <w:ind w:left="180" w:right="162"/>
        <w:rPr>
          <w:rFonts w:cs="Arial"/>
          <w:b/>
          <w:color w:val="FF0000"/>
          <w:szCs w:val="22"/>
        </w:rPr>
      </w:pPr>
    </w:p>
    <w:p w14:paraId="7ED2A38F" w14:textId="032E00F2" w:rsidR="003A0576" w:rsidRDefault="003A0576" w:rsidP="0091423B">
      <w:pPr>
        <w:widowControl w:val="0"/>
        <w:autoSpaceDE w:val="0"/>
        <w:autoSpaceDN w:val="0"/>
        <w:ind w:right="162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Revise Section R905.1.1.1 (1) to read as follows: </w:t>
      </w:r>
    </w:p>
    <w:p w14:paraId="71D99B68" w14:textId="77777777" w:rsidR="003A0576" w:rsidRDefault="003A0576" w:rsidP="0009294A">
      <w:pPr>
        <w:widowControl w:val="0"/>
        <w:autoSpaceDE w:val="0"/>
        <w:autoSpaceDN w:val="0"/>
        <w:ind w:left="180" w:right="162"/>
        <w:rPr>
          <w:rFonts w:cs="Arial"/>
          <w:b/>
          <w:szCs w:val="22"/>
        </w:rPr>
      </w:pPr>
    </w:p>
    <w:p w14:paraId="03962A35" w14:textId="77777777" w:rsidR="0009294A" w:rsidRDefault="0009294A" w:rsidP="0009294A">
      <w:pPr>
        <w:widowControl w:val="0"/>
        <w:autoSpaceDE w:val="0"/>
        <w:autoSpaceDN w:val="0"/>
        <w:spacing w:before="10"/>
        <w:ind w:left="180"/>
        <w:rPr>
          <w:rFonts w:cs="Arial"/>
          <w:szCs w:val="22"/>
        </w:rPr>
      </w:pPr>
    </w:p>
    <w:p w14:paraId="32DDE096" w14:textId="77777777" w:rsidR="0009294A" w:rsidRDefault="0009294A" w:rsidP="0009294A">
      <w:pPr>
        <w:widowControl w:val="0"/>
        <w:autoSpaceDE w:val="0"/>
        <w:autoSpaceDN w:val="0"/>
        <w:spacing w:before="62" w:line="235" w:lineRule="auto"/>
        <w:ind w:left="180" w:right="300"/>
        <w:jc w:val="both"/>
        <w:rPr>
          <w:rFonts w:cs="Arial"/>
          <w:szCs w:val="22"/>
        </w:rPr>
      </w:pPr>
      <w:proofErr w:type="gramStart"/>
      <w:r>
        <w:rPr>
          <w:rFonts w:cs="Arial"/>
          <w:b/>
          <w:szCs w:val="22"/>
          <w:u w:val="single"/>
        </w:rPr>
        <w:t>R905.1.1.1 Underlayment for asphalt, metal, mineral surfaced, slate and slate-type roof coverings.</w:t>
      </w:r>
      <w:proofErr w:type="gramEnd"/>
      <w:r>
        <w:rPr>
          <w:rFonts w:cs="Arial"/>
          <w:b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Underlayment for asphalt shingles,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 xml:space="preserve">metal roof shingles, mineral surfaced roll roofing, slate and slate-type shingles, </w:t>
      </w:r>
      <w:r>
        <w:rPr>
          <w:rFonts w:cs="Arial"/>
          <w:strike/>
          <w:szCs w:val="22"/>
        </w:rPr>
        <w:t>wood shingles, wood shakes</w:t>
      </w:r>
      <w:r>
        <w:rPr>
          <w:rFonts w:cs="Arial"/>
          <w:szCs w:val="22"/>
          <w:u w:val="single"/>
        </w:rPr>
        <w:t xml:space="preserve"> and metal roof panels shall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>comply with one of the following methods:</w:t>
      </w:r>
    </w:p>
    <w:p w14:paraId="04FDB037" w14:textId="77777777" w:rsidR="0009294A" w:rsidRDefault="0009294A" w:rsidP="0009294A">
      <w:pPr>
        <w:widowControl w:val="0"/>
        <w:autoSpaceDE w:val="0"/>
        <w:autoSpaceDN w:val="0"/>
        <w:spacing w:before="1"/>
        <w:ind w:left="180"/>
        <w:rPr>
          <w:rFonts w:cs="Arial"/>
          <w:szCs w:val="22"/>
        </w:rPr>
      </w:pPr>
    </w:p>
    <w:p w14:paraId="135DD9AB" w14:textId="77777777" w:rsidR="0009294A" w:rsidRDefault="0009294A" w:rsidP="0009294A">
      <w:pPr>
        <w:widowControl w:val="0"/>
        <w:tabs>
          <w:tab w:val="left" w:pos="312"/>
        </w:tabs>
        <w:autoSpaceDE w:val="0"/>
        <w:autoSpaceDN w:val="0"/>
        <w:ind w:left="180"/>
        <w:rPr>
          <w:rFonts w:cs="Arial"/>
          <w:szCs w:val="22"/>
        </w:rPr>
      </w:pPr>
      <w:r>
        <w:rPr>
          <w:rFonts w:cs="Arial"/>
          <w:spacing w:val="-2"/>
          <w:szCs w:val="22"/>
          <w:u w:val="single" w:color="000000"/>
        </w:rPr>
        <w:t>1.</w:t>
      </w:r>
      <w:r>
        <w:rPr>
          <w:rFonts w:cs="Arial"/>
          <w:spacing w:val="-2"/>
          <w:szCs w:val="22"/>
          <w:u w:val="single" w:color="000000"/>
        </w:rPr>
        <w:tab/>
      </w:r>
      <w:r>
        <w:rPr>
          <w:rFonts w:cs="Arial"/>
          <w:szCs w:val="22"/>
          <w:u w:val="single"/>
        </w:rPr>
        <w:t>The</w:t>
      </w:r>
      <w:r>
        <w:rPr>
          <w:rFonts w:cs="Arial"/>
          <w:spacing w:val="-3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entire</w:t>
      </w:r>
      <w:r>
        <w:rPr>
          <w:rFonts w:cs="Arial"/>
          <w:spacing w:val="-3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roof</w:t>
      </w:r>
      <w:r>
        <w:rPr>
          <w:rFonts w:cs="Arial"/>
          <w:spacing w:val="-1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deck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shall</w:t>
      </w:r>
      <w:r>
        <w:rPr>
          <w:rFonts w:cs="Arial"/>
          <w:spacing w:val="-7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be</w:t>
      </w:r>
      <w:r>
        <w:rPr>
          <w:rFonts w:cs="Arial"/>
          <w:spacing w:val="-3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covered</w:t>
      </w:r>
      <w:r>
        <w:rPr>
          <w:rFonts w:cs="Arial"/>
          <w:spacing w:val="-1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with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an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approved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self-adhering</w:t>
      </w:r>
      <w:r>
        <w:rPr>
          <w:rFonts w:cs="Arial"/>
          <w:spacing w:val="-5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polymer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modified</w:t>
      </w:r>
      <w:r>
        <w:rPr>
          <w:rFonts w:cs="Arial"/>
          <w:spacing w:val="-8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bitumen</w:t>
      </w:r>
      <w:r>
        <w:rPr>
          <w:rFonts w:cs="Arial"/>
          <w:spacing w:val="-1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underlayment</w:t>
      </w:r>
      <w:r>
        <w:rPr>
          <w:rFonts w:cs="Arial"/>
          <w:spacing w:val="-6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complying</w:t>
      </w:r>
      <w:r>
        <w:rPr>
          <w:rFonts w:cs="Arial"/>
          <w:spacing w:val="-5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with</w:t>
      </w:r>
      <w:r>
        <w:rPr>
          <w:rFonts w:cs="Arial"/>
          <w:spacing w:val="-2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 xml:space="preserve">ASTM </w:t>
      </w:r>
      <w:r>
        <w:rPr>
          <w:rFonts w:cs="Arial"/>
          <w:spacing w:val="-51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 xml:space="preserve">D1970 installed in accordance with both the underlayment manufacturer’s and </w:t>
      </w:r>
      <w:r>
        <w:rPr>
          <w:rFonts w:cs="Arial"/>
          <w:spacing w:val="-3"/>
          <w:szCs w:val="22"/>
          <w:u w:val="single"/>
        </w:rPr>
        <w:t xml:space="preserve">roof </w:t>
      </w:r>
      <w:r>
        <w:rPr>
          <w:rFonts w:cs="Arial"/>
          <w:szCs w:val="22"/>
          <w:u w:val="single"/>
        </w:rPr>
        <w:t xml:space="preserve">covering manufacturer’s </w:t>
      </w:r>
      <w:r>
        <w:rPr>
          <w:rFonts w:cs="Arial"/>
          <w:spacing w:val="-3"/>
          <w:szCs w:val="22"/>
          <w:u w:val="single"/>
        </w:rPr>
        <w:t xml:space="preserve">installation </w:t>
      </w:r>
      <w:r>
        <w:rPr>
          <w:rFonts w:cs="Arial"/>
          <w:szCs w:val="22"/>
          <w:u w:val="single"/>
        </w:rPr>
        <w:t>instructions for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t xml:space="preserve">the deck </w:t>
      </w:r>
      <w:r>
        <w:rPr>
          <w:rFonts w:cs="Arial"/>
          <w:spacing w:val="-3"/>
          <w:szCs w:val="22"/>
          <w:u w:val="single"/>
        </w:rPr>
        <w:t xml:space="preserve">material, </w:t>
      </w:r>
      <w:r>
        <w:rPr>
          <w:rFonts w:cs="Arial"/>
          <w:szCs w:val="22"/>
          <w:u w:val="single"/>
        </w:rPr>
        <w:t xml:space="preserve">roof </w:t>
      </w:r>
      <w:r>
        <w:rPr>
          <w:rFonts w:cs="Arial"/>
          <w:spacing w:val="-3"/>
          <w:szCs w:val="22"/>
          <w:u w:val="single"/>
        </w:rPr>
        <w:t xml:space="preserve">ventilation </w:t>
      </w:r>
      <w:r>
        <w:rPr>
          <w:rFonts w:cs="Arial"/>
          <w:szCs w:val="22"/>
          <w:u w:val="single"/>
        </w:rPr>
        <w:t xml:space="preserve">configuration and </w:t>
      </w:r>
      <w:r>
        <w:rPr>
          <w:rFonts w:cs="Arial"/>
          <w:spacing w:val="-3"/>
          <w:szCs w:val="22"/>
          <w:u w:val="single"/>
        </w:rPr>
        <w:t xml:space="preserve">climate </w:t>
      </w:r>
      <w:r>
        <w:rPr>
          <w:rFonts w:cs="Arial"/>
          <w:szCs w:val="22"/>
          <w:u w:val="single"/>
        </w:rPr>
        <w:t xml:space="preserve">exposure for the roof </w:t>
      </w:r>
      <w:r>
        <w:rPr>
          <w:rFonts w:cs="Arial"/>
          <w:spacing w:val="-3"/>
          <w:szCs w:val="22"/>
          <w:u w:val="single"/>
        </w:rPr>
        <w:t xml:space="preserve">covering </w:t>
      </w:r>
      <w:r>
        <w:rPr>
          <w:rFonts w:cs="Arial"/>
          <w:szCs w:val="22"/>
          <w:u w:val="single"/>
        </w:rPr>
        <w:t>to be installed.</w:t>
      </w:r>
    </w:p>
    <w:p w14:paraId="127424A1" w14:textId="77777777" w:rsidR="0009294A" w:rsidRDefault="0009294A" w:rsidP="0009294A">
      <w:pPr>
        <w:widowControl w:val="0"/>
        <w:autoSpaceDE w:val="0"/>
        <w:autoSpaceDN w:val="0"/>
        <w:ind w:left="180"/>
        <w:rPr>
          <w:rFonts w:cs="Arial"/>
          <w:szCs w:val="22"/>
        </w:rPr>
      </w:pPr>
    </w:p>
    <w:p w14:paraId="6E1533E4" w14:textId="16E6EE67" w:rsidR="00F633B6" w:rsidRPr="0009294A" w:rsidRDefault="00F633B6" w:rsidP="00F633B6">
      <w:pPr>
        <w:shd w:val="clear" w:color="auto" w:fill="FFFFFF"/>
        <w:ind w:left="210" w:hanging="360"/>
        <w:jc w:val="both"/>
        <w:rPr>
          <w:rFonts w:cs="Arial"/>
          <w:color w:val="FF0000"/>
          <w:szCs w:val="22"/>
          <w:u w:val="single"/>
        </w:rPr>
      </w:pPr>
      <w:r w:rsidRPr="0009294A">
        <w:rPr>
          <w:rFonts w:cs="Arial"/>
          <w:color w:val="FF0000"/>
          <w:szCs w:val="22"/>
        </w:rPr>
        <w:t>.</w:t>
      </w:r>
      <w:r w:rsidRPr="0009294A">
        <w:rPr>
          <w:rFonts w:ascii="Times New Roman" w:hAnsi="Times New Roman"/>
          <w:color w:val="FF0000"/>
          <w:sz w:val="14"/>
          <w:szCs w:val="14"/>
        </w:rPr>
        <w:t>    </w:t>
      </w:r>
      <w:r>
        <w:rPr>
          <w:rFonts w:ascii="Times New Roman" w:hAnsi="Times New Roman"/>
          <w:color w:val="FF0000"/>
          <w:sz w:val="14"/>
          <w:szCs w:val="14"/>
        </w:rPr>
        <w:tab/>
      </w:r>
      <w:r w:rsidRPr="00F633B6">
        <w:rPr>
          <w:rFonts w:ascii="Times New Roman" w:hAnsi="Times New Roman"/>
          <w:color w:val="FF0000"/>
          <w:sz w:val="24"/>
          <w:szCs w:val="24"/>
          <w:u w:val="single"/>
        </w:rPr>
        <w:t>Exception: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294A">
        <w:rPr>
          <w:rFonts w:cs="Arial"/>
          <w:color w:val="FF0000"/>
          <w:szCs w:val="22"/>
          <w:u w:val="single"/>
        </w:rPr>
        <w:t xml:space="preserve">An existing self-adhering modified bitumen underlayment </w:t>
      </w:r>
      <w:r w:rsidRPr="00F633B6">
        <w:rPr>
          <w:rFonts w:cs="Arial"/>
          <w:strike/>
          <w:color w:val="FF0000"/>
          <w:szCs w:val="22"/>
          <w:u w:val="single"/>
        </w:rPr>
        <w:t xml:space="preserve">complying with Underlayment Attachment </w:t>
      </w:r>
      <w:r w:rsidRPr="00F633B6">
        <w:rPr>
          <w:rFonts w:cs="Arial"/>
          <w:i/>
          <w:iCs/>
          <w:strike/>
          <w:color w:val="FF0000"/>
          <w:szCs w:val="22"/>
        </w:rPr>
        <w:t>3</w:t>
      </w:r>
      <w:r w:rsidRPr="00F633B6">
        <w:rPr>
          <w:rFonts w:cs="Arial"/>
          <w:strike/>
          <w:color w:val="FF0000"/>
          <w:szCs w:val="22"/>
        </w:rPr>
        <w:t xml:space="preserve"> </w:t>
      </w:r>
      <w:r w:rsidRPr="00F633B6">
        <w:rPr>
          <w:rFonts w:cs="Arial"/>
          <w:strike/>
          <w:color w:val="FF0000"/>
          <w:szCs w:val="22"/>
          <w:u w:val="single"/>
        </w:rPr>
        <w:t xml:space="preserve">1. </w:t>
      </w:r>
      <w:proofErr w:type="gramStart"/>
      <w:r w:rsidRPr="00F633B6">
        <w:rPr>
          <w:rFonts w:cs="Arial"/>
          <w:strike/>
          <w:color w:val="FF0000"/>
          <w:szCs w:val="22"/>
          <w:u w:val="single"/>
        </w:rPr>
        <w:t>above</w:t>
      </w:r>
      <w:proofErr w:type="gramEnd"/>
      <w:r w:rsidRPr="0009294A">
        <w:rPr>
          <w:rFonts w:cs="Arial"/>
          <w:color w:val="FF0000"/>
          <w:szCs w:val="22"/>
          <w:u w:val="single"/>
        </w:rPr>
        <w:t xml:space="preserve"> </w:t>
      </w:r>
      <w:r w:rsidRPr="00F633B6">
        <w:rPr>
          <w:rFonts w:cs="Arial"/>
          <w:color w:val="FF0000"/>
          <w:szCs w:val="22"/>
        </w:rPr>
        <w:t>which</w:t>
      </w:r>
      <w:r>
        <w:rPr>
          <w:rFonts w:cs="Arial"/>
          <w:color w:val="FF0000"/>
          <w:szCs w:val="22"/>
          <w:u w:val="single"/>
        </w:rPr>
        <w:t xml:space="preserve"> </w:t>
      </w:r>
      <w:r w:rsidRPr="0009294A">
        <w:rPr>
          <w:rFonts w:cs="Arial"/>
          <w:color w:val="FF0000"/>
          <w:szCs w:val="22"/>
          <w:u w:val="single"/>
        </w:rPr>
        <w:t>has been previously installed over the roof decking and where it is required, re-nailing off the roof sheathing in accordance with 706.7.1 of the Florida Building Code, Existing Building can be confirmed or verified. An approved underlayment in accordance</w:t>
      </w:r>
      <w:r w:rsidR="003A0576">
        <w:rPr>
          <w:rFonts w:cs="Arial"/>
          <w:color w:val="FF0000"/>
          <w:szCs w:val="22"/>
          <w:u w:val="single"/>
        </w:rPr>
        <w:t xml:space="preserve"> with Table R905.1.1.1</w:t>
      </w:r>
      <w:r w:rsidRPr="0009294A">
        <w:rPr>
          <w:rFonts w:cs="Arial"/>
          <w:color w:val="FF0000"/>
          <w:szCs w:val="22"/>
          <w:u w:val="single"/>
        </w:rPr>
        <w:t xml:space="preserve"> for the applicable roof covering shall be applied over the entire roof over the existing self-adhered modified bitumen underlayment. </w:t>
      </w:r>
    </w:p>
    <w:p w14:paraId="3E749569" w14:textId="77777777" w:rsidR="00F633B6" w:rsidRPr="0009294A" w:rsidRDefault="00F633B6" w:rsidP="00F633B6">
      <w:pPr>
        <w:shd w:val="clear" w:color="auto" w:fill="FFFFFF"/>
        <w:ind w:left="210" w:hanging="360"/>
        <w:jc w:val="both"/>
        <w:rPr>
          <w:rFonts w:ascii="Verdana" w:hAnsi="Verdana"/>
          <w:color w:val="FF0000"/>
          <w:sz w:val="24"/>
          <w:szCs w:val="24"/>
        </w:rPr>
      </w:pPr>
    </w:p>
    <w:p w14:paraId="0CADEE1D" w14:textId="34549886" w:rsidR="0009294A" w:rsidRPr="003A0576" w:rsidRDefault="003A0576" w:rsidP="0009294A">
      <w:pPr>
        <w:widowControl w:val="0"/>
        <w:autoSpaceDE w:val="0"/>
        <w:autoSpaceDN w:val="0"/>
        <w:spacing w:before="8"/>
        <w:ind w:left="180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>(R7571)</w:t>
      </w:r>
    </w:p>
    <w:sectPr w:rsidR="0009294A" w:rsidRPr="003A0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4A"/>
    <w:rsid w:val="0009294A"/>
    <w:rsid w:val="002E6405"/>
    <w:rsid w:val="003A0576"/>
    <w:rsid w:val="00662EEE"/>
    <w:rsid w:val="0091423B"/>
    <w:rsid w:val="00F6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F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4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2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4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4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2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4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Silvers</dc:creator>
  <cp:keywords/>
  <dc:description/>
  <cp:lastModifiedBy>Madani, Mo</cp:lastModifiedBy>
  <cp:revision>4</cp:revision>
  <dcterms:created xsi:type="dcterms:W3CDTF">2019-11-19T14:42:00Z</dcterms:created>
  <dcterms:modified xsi:type="dcterms:W3CDTF">2019-11-22T13:47:00Z</dcterms:modified>
</cp:coreProperties>
</file>