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D198" w14:textId="73B90BFA" w:rsidR="006B10C6" w:rsidRPr="006B10C6" w:rsidRDefault="006B10C6" w:rsidP="006B10C6">
      <w:pPr>
        <w:jc w:val="center"/>
        <w:rPr>
          <w:sz w:val="36"/>
          <w:szCs w:val="36"/>
        </w:rPr>
      </w:pPr>
      <w:r w:rsidRPr="006B10C6">
        <w:rPr>
          <w:sz w:val="36"/>
          <w:szCs w:val="36"/>
        </w:rPr>
        <w:t>NFPA 1730 2019 Edition</w:t>
      </w:r>
    </w:p>
    <w:p w14:paraId="0B395D13" w14:textId="77777777" w:rsidR="006B10C6" w:rsidRPr="0020406E" w:rsidRDefault="006B10C6" w:rsidP="006B10C6">
      <w:pPr>
        <w:rPr>
          <w:sz w:val="20"/>
          <w:szCs w:val="20"/>
        </w:rPr>
      </w:pPr>
      <w:r w:rsidRPr="0020406E">
        <w:rPr>
          <w:sz w:val="20"/>
          <w:szCs w:val="20"/>
        </w:rPr>
        <w:t>3.3.1* Critical Infrastructure.</w:t>
      </w:r>
    </w:p>
    <w:p w14:paraId="1F4D8BD7" w14:textId="642C1BF4" w:rsidR="006B10C6" w:rsidRPr="0020406E" w:rsidRDefault="006B10C6" w:rsidP="006B10C6">
      <w:pPr>
        <w:rPr>
          <w:sz w:val="20"/>
          <w:szCs w:val="20"/>
        </w:rPr>
      </w:pPr>
      <w:r w:rsidRPr="0020406E">
        <w:rPr>
          <w:sz w:val="20"/>
          <w:szCs w:val="20"/>
        </w:rPr>
        <w:t>The assets, systems, and networks, whether physical or virtual, that are so vital to the community that their damage or destruction would have a debilitating effect.</w:t>
      </w:r>
    </w:p>
    <w:p w14:paraId="71E5E1A8" w14:textId="6D099898" w:rsidR="006B10C6" w:rsidRPr="0020406E" w:rsidRDefault="006B10C6" w:rsidP="006B10C6">
      <w:pPr>
        <w:rPr>
          <w:sz w:val="20"/>
          <w:szCs w:val="20"/>
        </w:rPr>
      </w:pPr>
      <w:r w:rsidRPr="0020406E">
        <w:rPr>
          <w:sz w:val="20"/>
          <w:szCs w:val="20"/>
        </w:rPr>
        <w:t>A.3.3.1 Critical</w:t>
      </w:r>
      <w:r w:rsidRPr="0020406E">
        <w:rPr>
          <w:sz w:val="20"/>
          <w:szCs w:val="20"/>
        </w:rPr>
        <w:t xml:space="preserve"> Infrastructure.</w:t>
      </w:r>
    </w:p>
    <w:p w14:paraId="3194DCBD" w14:textId="1B0EDAA7" w:rsidR="006B10C6" w:rsidRPr="0020406E" w:rsidRDefault="006B10C6" w:rsidP="006B10C6">
      <w:pPr>
        <w:rPr>
          <w:sz w:val="20"/>
          <w:szCs w:val="20"/>
        </w:rPr>
      </w:pPr>
      <w:r w:rsidRPr="0020406E">
        <w:rPr>
          <w:sz w:val="20"/>
          <w:szCs w:val="20"/>
        </w:rPr>
        <w:t>Examples of critical infrastructures could include water treatment plant, special structures, public safety buildings, and power plants.</w:t>
      </w:r>
    </w:p>
    <w:p w14:paraId="795B7B3F" w14:textId="7CFA8387" w:rsidR="006B10C6" w:rsidRPr="0020406E" w:rsidRDefault="006B10C6" w:rsidP="006B10C6">
      <w:pPr>
        <w:rPr>
          <w:sz w:val="20"/>
          <w:szCs w:val="20"/>
        </w:rPr>
      </w:pPr>
      <w:r w:rsidRPr="0020406E">
        <w:rPr>
          <w:sz w:val="20"/>
          <w:szCs w:val="20"/>
        </w:rPr>
        <w:t>3.3.3 Occupancy.</w:t>
      </w:r>
    </w:p>
    <w:p w14:paraId="45942795" w14:textId="77777777" w:rsidR="006B10C6" w:rsidRPr="0020406E" w:rsidRDefault="006B10C6" w:rsidP="006B10C6">
      <w:pPr>
        <w:rPr>
          <w:sz w:val="20"/>
          <w:szCs w:val="20"/>
        </w:rPr>
      </w:pPr>
    </w:p>
    <w:p w14:paraId="5FBF572B" w14:textId="77777777" w:rsidR="006B10C6" w:rsidRPr="0020406E" w:rsidRDefault="006B10C6" w:rsidP="006B10C6">
      <w:pPr>
        <w:rPr>
          <w:sz w:val="20"/>
          <w:szCs w:val="20"/>
        </w:rPr>
      </w:pPr>
      <w:r w:rsidRPr="0020406E">
        <w:rPr>
          <w:sz w:val="20"/>
          <w:szCs w:val="20"/>
        </w:rPr>
        <w:t>3.3.3.1* High-Risk Occupancy.</w:t>
      </w:r>
    </w:p>
    <w:p w14:paraId="4A7FF6DE" w14:textId="77777777" w:rsidR="006B10C6" w:rsidRPr="0020406E" w:rsidRDefault="006B10C6" w:rsidP="006B10C6">
      <w:pPr>
        <w:rPr>
          <w:sz w:val="20"/>
          <w:szCs w:val="20"/>
        </w:rPr>
      </w:pPr>
      <w:r w:rsidRPr="0020406E">
        <w:rPr>
          <w:sz w:val="20"/>
          <w:szCs w:val="20"/>
        </w:rPr>
        <w:t xml:space="preserve">An occupancy that has a history of high frequency of fires, high potential for loss of life or economic loss, or that has a low or moderate history of fires or loss of </w:t>
      </w:r>
      <w:proofErr w:type="gramStart"/>
      <w:r w:rsidRPr="0020406E">
        <w:rPr>
          <w:sz w:val="20"/>
          <w:szCs w:val="20"/>
        </w:rPr>
        <w:t>life</w:t>
      </w:r>
      <w:proofErr w:type="gramEnd"/>
      <w:r w:rsidRPr="0020406E">
        <w:rPr>
          <w:sz w:val="20"/>
          <w:szCs w:val="20"/>
        </w:rPr>
        <w:t xml:space="preserve"> but the occupants have a high dependency on the built-in fire protection features or staff to assist in evacuation during a fire or other emergency.</w:t>
      </w:r>
    </w:p>
    <w:p w14:paraId="0EA9BC32" w14:textId="14FB6294" w:rsidR="006B10C6" w:rsidRPr="0020406E" w:rsidRDefault="006B10C6" w:rsidP="006B10C6">
      <w:pPr>
        <w:rPr>
          <w:sz w:val="20"/>
          <w:szCs w:val="20"/>
        </w:rPr>
      </w:pPr>
      <w:r w:rsidRPr="0020406E">
        <w:rPr>
          <w:sz w:val="20"/>
          <w:szCs w:val="20"/>
        </w:rPr>
        <w:t>A.3.3.3.1 High</w:t>
      </w:r>
      <w:r w:rsidRPr="0020406E">
        <w:rPr>
          <w:sz w:val="20"/>
          <w:szCs w:val="20"/>
        </w:rPr>
        <w:t>-Risk Occupancy.</w:t>
      </w:r>
    </w:p>
    <w:p w14:paraId="2A2E9238" w14:textId="20A57AF2" w:rsidR="006B10C6" w:rsidRPr="0020406E" w:rsidRDefault="006B10C6" w:rsidP="006B10C6">
      <w:pPr>
        <w:rPr>
          <w:sz w:val="20"/>
          <w:szCs w:val="20"/>
        </w:rPr>
      </w:pPr>
      <w:r w:rsidRPr="0020406E">
        <w:rPr>
          <w:sz w:val="20"/>
          <w:szCs w:val="20"/>
        </w:rPr>
        <w:t xml:space="preserve">Examples of high-risk occupancies could include multiple-family dwellings, high-rise buildings, hotels, dormitories, lodging and rooming, assembly, </w:t>
      </w:r>
      <w:proofErr w:type="gramStart"/>
      <w:r w:rsidRPr="0020406E">
        <w:rPr>
          <w:sz w:val="20"/>
          <w:szCs w:val="20"/>
        </w:rPr>
        <w:t>child care</w:t>
      </w:r>
      <w:proofErr w:type="gramEnd"/>
      <w:r w:rsidRPr="0020406E">
        <w:rPr>
          <w:sz w:val="20"/>
          <w:szCs w:val="20"/>
        </w:rPr>
        <w:t>, detention, educational, health care, and industrial.</w:t>
      </w:r>
    </w:p>
    <w:p w14:paraId="57AC3394" w14:textId="77777777" w:rsidR="006B10C6" w:rsidRPr="0020406E" w:rsidRDefault="006B10C6" w:rsidP="006B10C6">
      <w:pPr>
        <w:rPr>
          <w:sz w:val="20"/>
          <w:szCs w:val="20"/>
        </w:rPr>
      </w:pPr>
      <w:r w:rsidRPr="0020406E">
        <w:rPr>
          <w:sz w:val="20"/>
          <w:szCs w:val="20"/>
        </w:rPr>
        <w:t>3.3.3.2* Low-Risk Occupancy.</w:t>
      </w:r>
    </w:p>
    <w:p w14:paraId="04438851" w14:textId="77777777" w:rsidR="006B10C6" w:rsidRPr="0020406E" w:rsidRDefault="006B10C6" w:rsidP="006B10C6">
      <w:pPr>
        <w:rPr>
          <w:sz w:val="20"/>
          <w:szCs w:val="20"/>
        </w:rPr>
      </w:pPr>
      <w:r w:rsidRPr="0020406E">
        <w:rPr>
          <w:sz w:val="20"/>
          <w:szCs w:val="20"/>
        </w:rPr>
        <w:t>An occupancy that has a history of low frequency of fires and minimal potential for loss of life or economic loss.</w:t>
      </w:r>
    </w:p>
    <w:p w14:paraId="56ABA034" w14:textId="7B95438B" w:rsidR="006B10C6" w:rsidRPr="0020406E" w:rsidRDefault="006B10C6" w:rsidP="006B10C6">
      <w:pPr>
        <w:rPr>
          <w:sz w:val="20"/>
          <w:szCs w:val="20"/>
        </w:rPr>
      </w:pPr>
      <w:r w:rsidRPr="0020406E">
        <w:rPr>
          <w:sz w:val="20"/>
          <w:szCs w:val="20"/>
        </w:rPr>
        <w:t>A.3.3.3.2 Low</w:t>
      </w:r>
      <w:r w:rsidRPr="0020406E">
        <w:rPr>
          <w:sz w:val="20"/>
          <w:szCs w:val="20"/>
        </w:rPr>
        <w:t>-Risk Occupancy.</w:t>
      </w:r>
    </w:p>
    <w:p w14:paraId="2DD12CD8" w14:textId="112DCC60" w:rsidR="006B10C6" w:rsidRPr="0020406E" w:rsidRDefault="006B10C6" w:rsidP="006B10C6">
      <w:pPr>
        <w:rPr>
          <w:sz w:val="20"/>
          <w:szCs w:val="20"/>
        </w:rPr>
      </w:pPr>
      <w:r w:rsidRPr="0020406E">
        <w:rPr>
          <w:sz w:val="20"/>
          <w:szCs w:val="20"/>
        </w:rPr>
        <w:t>Examples of low-risk occupancies could include storage, mercantile, and business.</w:t>
      </w:r>
    </w:p>
    <w:p w14:paraId="4CB234C2" w14:textId="77777777" w:rsidR="006B10C6" w:rsidRPr="0020406E" w:rsidRDefault="006B10C6" w:rsidP="006B10C6">
      <w:pPr>
        <w:rPr>
          <w:sz w:val="20"/>
          <w:szCs w:val="20"/>
        </w:rPr>
      </w:pPr>
      <w:r w:rsidRPr="0020406E">
        <w:rPr>
          <w:sz w:val="20"/>
          <w:szCs w:val="20"/>
        </w:rPr>
        <w:t>3.3.3.3* Moderate-Risk Occupancy.</w:t>
      </w:r>
    </w:p>
    <w:p w14:paraId="07CD6039" w14:textId="284D1FF0" w:rsidR="009C6495" w:rsidRPr="0020406E" w:rsidRDefault="006B10C6" w:rsidP="006B10C6">
      <w:pPr>
        <w:rPr>
          <w:sz w:val="20"/>
          <w:szCs w:val="20"/>
        </w:rPr>
      </w:pPr>
      <w:r w:rsidRPr="0020406E">
        <w:rPr>
          <w:sz w:val="20"/>
          <w:szCs w:val="20"/>
        </w:rPr>
        <w:t>An occupancy that has a history of moderate frequency of fires or a moderate potential for loss of life or economic loss.</w:t>
      </w:r>
    </w:p>
    <w:p w14:paraId="69CBEDE8" w14:textId="12CAF3A3" w:rsidR="006B10C6" w:rsidRPr="0020406E" w:rsidRDefault="006B10C6" w:rsidP="006B10C6">
      <w:pPr>
        <w:rPr>
          <w:sz w:val="20"/>
          <w:szCs w:val="20"/>
        </w:rPr>
      </w:pPr>
      <w:r w:rsidRPr="0020406E">
        <w:rPr>
          <w:sz w:val="20"/>
          <w:szCs w:val="20"/>
        </w:rPr>
        <w:t>A.3.3.3.3 Moderate</w:t>
      </w:r>
      <w:r w:rsidRPr="0020406E">
        <w:rPr>
          <w:sz w:val="20"/>
          <w:szCs w:val="20"/>
        </w:rPr>
        <w:t>-Risk Occupancy.</w:t>
      </w:r>
    </w:p>
    <w:p w14:paraId="31CEF828" w14:textId="77E69881" w:rsidR="006B10C6" w:rsidRPr="0020406E" w:rsidRDefault="006B10C6" w:rsidP="006B10C6">
      <w:pPr>
        <w:rPr>
          <w:sz w:val="20"/>
          <w:szCs w:val="20"/>
        </w:rPr>
      </w:pPr>
      <w:r w:rsidRPr="0020406E">
        <w:rPr>
          <w:sz w:val="20"/>
          <w:szCs w:val="20"/>
        </w:rPr>
        <w:t xml:space="preserve">Examples of moderate-risk occupancies could include ambulatory health care and industrial occupancies that do not maintain, store, use, or handle hazardous materials </w:t>
      </w:r>
      <w:proofErr w:type="gramStart"/>
      <w:r w:rsidRPr="0020406E">
        <w:rPr>
          <w:sz w:val="20"/>
          <w:szCs w:val="20"/>
        </w:rPr>
        <w:t>in excess of</w:t>
      </w:r>
      <w:proofErr w:type="gramEnd"/>
      <w:r w:rsidRPr="0020406E">
        <w:rPr>
          <w:sz w:val="20"/>
          <w:szCs w:val="20"/>
        </w:rPr>
        <w:t xml:space="preserve"> exempt amounts.</w:t>
      </w:r>
    </w:p>
    <w:p w14:paraId="306B1890" w14:textId="574DCBCB" w:rsidR="0020406E" w:rsidRPr="0020406E" w:rsidRDefault="0020406E" w:rsidP="0020406E">
      <w:pPr>
        <w:rPr>
          <w:sz w:val="20"/>
          <w:szCs w:val="20"/>
        </w:rPr>
      </w:pPr>
      <w:r w:rsidRPr="0020406E">
        <w:rPr>
          <w:sz w:val="20"/>
          <w:szCs w:val="20"/>
        </w:rPr>
        <w:t>Table 6.7 Minimum Inspection Frequency</w:t>
      </w:r>
    </w:p>
    <w:tbl>
      <w:tblPr>
        <w:tblW w:w="10950" w:type="dxa"/>
        <w:tblBorders>
          <w:top w:val="single" w:sz="24" w:space="0" w:color="AEB3C5"/>
          <w:bottom w:val="single" w:sz="24" w:space="0" w:color="AEB3C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0"/>
        <w:gridCol w:w="4380"/>
      </w:tblGrid>
      <w:tr w:rsidR="0020406E" w:rsidRPr="0020406E" w14:paraId="00110466" w14:textId="77777777" w:rsidTr="0020406E">
        <w:trPr>
          <w:tblHeader/>
        </w:trPr>
        <w:tc>
          <w:tcPr>
            <w:tcW w:w="6570" w:type="dxa"/>
            <w:tcBorders>
              <w:top w:val="nil"/>
              <w:left w:val="nil"/>
              <w:bottom w:val="single" w:sz="24" w:space="0" w:color="AEB3C5"/>
              <w:right w:val="nil"/>
            </w:tcBorders>
            <w:vAlign w:val="bottom"/>
            <w:hideMark/>
          </w:tcPr>
          <w:p w14:paraId="179A1884" w14:textId="77777777" w:rsidR="0020406E" w:rsidRPr="0020406E" w:rsidRDefault="0020406E" w:rsidP="0020406E">
            <w:pPr>
              <w:rPr>
                <w:b/>
                <w:bCs/>
                <w:sz w:val="20"/>
                <w:szCs w:val="20"/>
              </w:rPr>
            </w:pPr>
            <w:r w:rsidRPr="0020406E">
              <w:rPr>
                <w:b/>
                <w:bCs/>
                <w:sz w:val="20"/>
                <w:szCs w:val="20"/>
              </w:rPr>
              <w:t>Occupancy Risk Classification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24" w:space="0" w:color="AEB3C5"/>
              <w:right w:val="nil"/>
            </w:tcBorders>
            <w:vAlign w:val="bottom"/>
            <w:hideMark/>
          </w:tcPr>
          <w:p w14:paraId="0DAB4F61" w14:textId="77777777" w:rsidR="0020406E" w:rsidRPr="0020406E" w:rsidRDefault="0020406E" w:rsidP="0020406E">
            <w:pPr>
              <w:rPr>
                <w:b/>
                <w:bCs/>
                <w:sz w:val="20"/>
                <w:szCs w:val="20"/>
              </w:rPr>
            </w:pPr>
            <w:r w:rsidRPr="0020406E">
              <w:rPr>
                <w:b/>
                <w:bCs/>
                <w:sz w:val="20"/>
                <w:szCs w:val="20"/>
              </w:rPr>
              <w:t>Frequency</w:t>
            </w:r>
          </w:p>
        </w:tc>
      </w:tr>
      <w:tr w:rsidR="0020406E" w:rsidRPr="0020406E" w14:paraId="47E467C6" w14:textId="77777777" w:rsidTr="0020406E"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26D76" w14:textId="77777777" w:rsidR="0020406E" w:rsidRPr="0020406E" w:rsidRDefault="0020406E" w:rsidP="0020406E">
            <w:pPr>
              <w:rPr>
                <w:sz w:val="20"/>
                <w:szCs w:val="20"/>
              </w:rPr>
            </w:pPr>
            <w:r w:rsidRPr="0020406E">
              <w:rPr>
                <w:sz w:val="20"/>
                <w:szCs w:val="20"/>
              </w:rPr>
              <w:t>High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8E0862" w14:textId="77777777" w:rsidR="0020406E" w:rsidRPr="0020406E" w:rsidRDefault="0020406E" w:rsidP="0020406E">
            <w:pPr>
              <w:rPr>
                <w:sz w:val="20"/>
                <w:szCs w:val="20"/>
              </w:rPr>
            </w:pPr>
            <w:r w:rsidRPr="0020406E">
              <w:rPr>
                <w:sz w:val="20"/>
                <w:szCs w:val="20"/>
              </w:rPr>
              <w:t>Annually</w:t>
            </w:r>
          </w:p>
        </w:tc>
      </w:tr>
      <w:tr w:rsidR="0020406E" w:rsidRPr="0020406E" w14:paraId="58F250A6" w14:textId="77777777" w:rsidTr="0020406E"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6DFE68" w14:textId="77777777" w:rsidR="0020406E" w:rsidRPr="0020406E" w:rsidRDefault="0020406E" w:rsidP="0020406E">
            <w:pPr>
              <w:rPr>
                <w:sz w:val="20"/>
                <w:szCs w:val="20"/>
              </w:rPr>
            </w:pPr>
            <w:r w:rsidRPr="0020406E">
              <w:rPr>
                <w:sz w:val="20"/>
                <w:szCs w:val="20"/>
              </w:rPr>
              <w:t>Moderate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5AFB4" w14:textId="77777777" w:rsidR="0020406E" w:rsidRPr="0020406E" w:rsidRDefault="0020406E" w:rsidP="0020406E">
            <w:pPr>
              <w:rPr>
                <w:sz w:val="20"/>
                <w:szCs w:val="20"/>
              </w:rPr>
            </w:pPr>
            <w:r w:rsidRPr="0020406E">
              <w:rPr>
                <w:sz w:val="20"/>
                <w:szCs w:val="20"/>
              </w:rPr>
              <w:t>Biennially</w:t>
            </w:r>
          </w:p>
        </w:tc>
      </w:tr>
      <w:tr w:rsidR="0020406E" w:rsidRPr="0020406E" w14:paraId="438E185B" w14:textId="77777777" w:rsidTr="0020406E"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CDC59" w14:textId="77777777" w:rsidR="0020406E" w:rsidRPr="0020406E" w:rsidRDefault="0020406E" w:rsidP="0020406E">
            <w:pPr>
              <w:rPr>
                <w:sz w:val="20"/>
                <w:szCs w:val="20"/>
              </w:rPr>
            </w:pPr>
            <w:r w:rsidRPr="0020406E">
              <w:rPr>
                <w:sz w:val="20"/>
                <w:szCs w:val="20"/>
              </w:rPr>
              <w:t>Low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E3FAF" w14:textId="77777777" w:rsidR="0020406E" w:rsidRPr="0020406E" w:rsidRDefault="0020406E" w:rsidP="0020406E">
            <w:pPr>
              <w:rPr>
                <w:sz w:val="20"/>
                <w:szCs w:val="20"/>
              </w:rPr>
            </w:pPr>
            <w:r w:rsidRPr="0020406E">
              <w:rPr>
                <w:sz w:val="20"/>
                <w:szCs w:val="20"/>
              </w:rPr>
              <w:t>Triennially</w:t>
            </w:r>
          </w:p>
        </w:tc>
      </w:tr>
      <w:tr w:rsidR="0020406E" w:rsidRPr="0020406E" w14:paraId="77DDC785" w14:textId="77777777" w:rsidTr="0020406E"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93798" w14:textId="77777777" w:rsidR="0020406E" w:rsidRPr="0020406E" w:rsidRDefault="0020406E" w:rsidP="0020406E">
            <w:pPr>
              <w:rPr>
                <w:sz w:val="20"/>
                <w:szCs w:val="20"/>
              </w:rPr>
            </w:pPr>
            <w:r w:rsidRPr="0020406E">
              <w:rPr>
                <w:sz w:val="20"/>
                <w:szCs w:val="20"/>
              </w:rPr>
              <w:t>Critical infrastructure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E6A892" w14:textId="77777777" w:rsidR="0020406E" w:rsidRPr="0020406E" w:rsidRDefault="0020406E" w:rsidP="0020406E">
            <w:pPr>
              <w:rPr>
                <w:sz w:val="20"/>
                <w:szCs w:val="20"/>
              </w:rPr>
            </w:pPr>
            <w:r w:rsidRPr="0020406E">
              <w:rPr>
                <w:sz w:val="20"/>
                <w:szCs w:val="20"/>
              </w:rPr>
              <w:t>Per AHJ</w:t>
            </w:r>
          </w:p>
        </w:tc>
      </w:tr>
    </w:tbl>
    <w:p w14:paraId="1BD18690" w14:textId="77777777" w:rsidR="0020406E" w:rsidRDefault="0020406E" w:rsidP="006B10C6"/>
    <w:sectPr w:rsidR="00204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02EB" w14:textId="77777777" w:rsidR="001051D3" w:rsidRDefault="001051D3" w:rsidP="006B10C6">
      <w:pPr>
        <w:spacing w:after="0" w:line="240" w:lineRule="auto"/>
      </w:pPr>
      <w:r>
        <w:separator/>
      </w:r>
    </w:p>
  </w:endnote>
  <w:endnote w:type="continuationSeparator" w:id="0">
    <w:p w14:paraId="7BF7D7EF" w14:textId="77777777" w:rsidR="001051D3" w:rsidRDefault="001051D3" w:rsidP="006B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A0DE" w14:textId="77777777" w:rsidR="001051D3" w:rsidRDefault="001051D3" w:rsidP="006B10C6">
      <w:pPr>
        <w:spacing w:after="0" w:line="240" w:lineRule="auto"/>
      </w:pPr>
      <w:r>
        <w:separator/>
      </w:r>
    </w:p>
  </w:footnote>
  <w:footnote w:type="continuationSeparator" w:id="0">
    <w:p w14:paraId="12CAB8E8" w14:textId="77777777" w:rsidR="001051D3" w:rsidRDefault="001051D3" w:rsidP="006B1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C6"/>
    <w:rsid w:val="001051D3"/>
    <w:rsid w:val="0020406E"/>
    <w:rsid w:val="006B10C6"/>
    <w:rsid w:val="009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7F594"/>
  <w15:chartTrackingRefBased/>
  <w15:docId w15:val="{9EB307A8-54E9-4E2C-B127-97D0DE59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-sub-section-detailtitle">
    <w:name w:val="c-sub-section-detail__title"/>
    <w:basedOn w:val="DefaultParagraphFont"/>
    <w:rsid w:val="006B10C6"/>
  </w:style>
  <w:style w:type="character" w:styleId="Hyperlink">
    <w:name w:val="Hyperlink"/>
    <w:basedOn w:val="DefaultParagraphFont"/>
    <w:uiPriority w:val="99"/>
    <w:semiHidden/>
    <w:unhideWhenUsed/>
    <w:rsid w:val="006B10C6"/>
    <w:rPr>
      <w:color w:val="0000FF"/>
      <w:u w:val="single"/>
    </w:rPr>
  </w:style>
  <w:style w:type="paragraph" w:customStyle="1" w:styleId="-base">
    <w:name w:val="-base"/>
    <w:basedOn w:val="Normal"/>
    <w:rsid w:val="006B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1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0C6"/>
  </w:style>
  <w:style w:type="paragraph" w:styleId="Footer">
    <w:name w:val="footer"/>
    <w:basedOn w:val="Normal"/>
    <w:link w:val="FooterChar"/>
    <w:uiPriority w:val="99"/>
    <w:unhideWhenUsed/>
    <w:rsid w:val="006B1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Flowers, Elijah</dc:creator>
  <cp:keywords/>
  <dc:description/>
  <cp:lastModifiedBy>Flowers, Elijah</cp:lastModifiedBy>
  <cp:revision>2</cp:revision>
  <dcterms:created xsi:type="dcterms:W3CDTF">2023-02-03T20:43:00Z</dcterms:created>
  <dcterms:modified xsi:type="dcterms:W3CDTF">2023-02-03T20:50:00Z</dcterms:modified>
</cp:coreProperties>
</file>