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5E2" w:rsidRDefault="00CF1C97">
      <w:pPr>
        <w:rPr>
          <w:rFonts w:cstheme="minorHAnsi"/>
        </w:rPr>
      </w:pPr>
      <w:r w:rsidRPr="00E94B8D">
        <w:rPr>
          <w:rFonts w:cstheme="minorHAnsi"/>
        </w:rPr>
        <w:t>Insert the following new text in the Florida Existing Building Code</w:t>
      </w:r>
      <w:r w:rsidR="00E94B8D">
        <w:rPr>
          <w:rFonts w:cstheme="minorHAnsi"/>
        </w:rPr>
        <w:t xml:space="preserve"> as underlined below.</w:t>
      </w:r>
    </w:p>
    <w:p w:rsidR="00E94B8D" w:rsidRDefault="00E94B8D">
      <w:pPr>
        <w:rPr>
          <w:rFonts w:cstheme="minorHAnsi"/>
        </w:rPr>
      </w:pPr>
    </w:p>
    <w:p w:rsidR="00CF1C97" w:rsidRPr="00E94B8D" w:rsidRDefault="00CF1C97">
      <w:pPr>
        <w:rPr>
          <w:rFonts w:cstheme="minorHAnsi"/>
        </w:rPr>
      </w:pPr>
      <w:r w:rsidRPr="00E94B8D">
        <w:rPr>
          <w:rFonts w:cstheme="minorHAnsi"/>
          <w:b/>
        </w:rPr>
        <w:t>101.2 Scope.</w:t>
      </w:r>
      <w:r w:rsidRPr="00E94B8D">
        <w:rPr>
          <w:rFonts w:cstheme="minorHAnsi"/>
        </w:rPr>
        <w:t xml:space="preserve"> The provisions of the </w:t>
      </w:r>
      <w:r w:rsidRPr="00E94B8D">
        <w:rPr>
          <w:rFonts w:cstheme="minorHAnsi"/>
          <w:i/>
        </w:rPr>
        <w:t xml:space="preserve">Florida Building Code, Existing Building </w:t>
      </w:r>
      <w:r w:rsidRPr="00E94B8D">
        <w:rPr>
          <w:rFonts w:cstheme="minorHAnsi"/>
        </w:rPr>
        <w:t xml:space="preserve">shall apply to the </w:t>
      </w:r>
      <w:r w:rsidRPr="00E94B8D">
        <w:rPr>
          <w:rFonts w:cstheme="minorHAnsi"/>
          <w:i/>
        </w:rPr>
        <w:t xml:space="preserve">repair, alternation, change of occupancy, addition </w:t>
      </w:r>
      <w:r w:rsidRPr="00E94B8D">
        <w:rPr>
          <w:rFonts w:cstheme="minorHAnsi"/>
        </w:rPr>
        <w:t xml:space="preserve">to and the relocation of </w:t>
      </w:r>
      <w:r w:rsidRPr="00E94B8D">
        <w:rPr>
          <w:rFonts w:cstheme="minorHAnsi"/>
          <w:i/>
        </w:rPr>
        <w:t xml:space="preserve">existing buildings. </w:t>
      </w:r>
      <w:r w:rsidRPr="00E94B8D">
        <w:rPr>
          <w:rFonts w:cstheme="minorHAnsi"/>
          <w:u w:val="single"/>
        </w:rPr>
        <w:t xml:space="preserve">The provisions of the </w:t>
      </w:r>
      <w:r w:rsidRPr="00E94B8D">
        <w:rPr>
          <w:rFonts w:cstheme="minorHAnsi"/>
          <w:i/>
          <w:u w:val="single"/>
        </w:rPr>
        <w:t xml:space="preserve">Florida Building Code, Existing Building </w:t>
      </w:r>
      <w:r w:rsidRPr="00E94B8D">
        <w:rPr>
          <w:rFonts w:cstheme="minorHAnsi"/>
          <w:u w:val="single"/>
        </w:rPr>
        <w:t xml:space="preserve">shall also apply to </w:t>
      </w:r>
      <w:r w:rsidR="00E94B8D" w:rsidRPr="00E94B8D">
        <w:rPr>
          <w:rFonts w:cstheme="minorHAnsi"/>
          <w:u w:val="single"/>
        </w:rPr>
        <w:t xml:space="preserve">existing buildings that are subject to </w:t>
      </w:r>
      <w:r w:rsidR="00E94B8D" w:rsidRPr="00E94B8D">
        <w:rPr>
          <w:rFonts w:cstheme="minorHAnsi"/>
          <w:i/>
          <w:u w:val="single"/>
        </w:rPr>
        <w:t xml:space="preserve">Milestone Inspections, </w:t>
      </w:r>
      <w:r w:rsidR="00E94B8D" w:rsidRPr="00E94B8D">
        <w:rPr>
          <w:rFonts w:cstheme="minorHAnsi"/>
          <w:u w:val="single"/>
        </w:rPr>
        <w:t>as defined in Chapter 2 and as required in Chapter 18.</w:t>
      </w:r>
      <w:r w:rsidR="00E94B8D" w:rsidRPr="00E94B8D">
        <w:rPr>
          <w:rFonts w:cstheme="minorHAnsi"/>
        </w:rPr>
        <w:t xml:space="preserve"> </w:t>
      </w:r>
    </w:p>
    <w:p w:rsidR="00CF1C97" w:rsidRPr="00E94B8D" w:rsidRDefault="00E94B8D">
      <w:pPr>
        <w:rPr>
          <w:rFonts w:cstheme="minorHAnsi"/>
        </w:rPr>
      </w:pPr>
      <w:r w:rsidRPr="00E94B8D">
        <w:rPr>
          <w:rFonts w:cstheme="minorHAnsi"/>
          <w:b/>
        </w:rPr>
        <w:t xml:space="preserve">Exception: </w:t>
      </w:r>
      <w:r w:rsidRPr="00E94B8D">
        <w:rPr>
          <w:rFonts w:cstheme="minorHAnsi"/>
        </w:rPr>
        <w:t xml:space="preserve">For the purpose of public educational facilities and state licensed facilities, see Chapter 4, Special Occupancy, of the </w:t>
      </w:r>
      <w:r w:rsidRPr="00E94B8D">
        <w:rPr>
          <w:rFonts w:cstheme="minorHAnsi"/>
          <w:i/>
        </w:rPr>
        <w:t>Florida Building Code, Building.</w:t>
      </w:r>
    </w:p>
    <w:p w:rsidR="00E94B8D" w:rsidRPr="00E94B8D" w:rsidRDefault="00E94B8D">
      <w:pPr>
        <w:rPr>
          <w:rFonts w:cstheme="minorHAnsi"/>
        </w:rPr>
      </w:pPr>
    </w:p>
    <w:p w:rsidR="00E94B8D" w:rsidRPr="00E94B8D" w:rsidRDefault="00E94B8D" w:rsidP="00E94B8D">
      <w:pPr>
        <w:shd w:val="clear" w:color="auto" w:fill="FFFFFF"/>
        <w:spacing w:after="0" w:line="240" w:lineRule="auto"/>
        <w:outlineLvl w:val="0"/>
        <w:rPr>
          <w:rFonts w:eastAsia="Times New Roman" w:cstheme="minorHAnsi"/>
          <w:b/>
          <w:bCs/>
          <w:kern w:val="36"/>
        </w:rPr>
      </w:pPr>
      <w:r w:rsidRPr="00E94B8D">
        <w:rPr>
          <w:rFonts w:eastAsia="Times New Roman" w:cstheme="minorHAnsi"/>
          <w:b/>
          <w:bCs/>
          <w:kern w:val="36"/>
        </w:rPr>
        <w:t>101.4</w:t>
      </w:r>
      <w:r>
        <w:rPr>
          <w:rFonts w:eastAsia="Times New Roman" w:cstheme="minorHAnsi"/>
          <w:b/>
          <w:bCs/>
          <w:kern w:val="36"/>
        </w:rPr>
        <w:t xml:space="preserve"> </w:t>
      </w:r>
      <w:r w:rsidRPr="00E94B8D">
        <w:rPr>
          <w:rFonts w:eastAsia="Times New Roman" w:cstheme="minorHAnsi"/>
          <w:b/>
          <w:bCs/>
          <w:kern w:val="36"/>
        </w:rPr>
        <w:t>Applicability.</w:t>
      </w:r>
    </w:p>
    <w:p w:rsidR="00E94B8D" w:rsidRPr="00E94B8D" w:rsidRDefault="00E94B8D" w:rsidP="00E94B8D">
      <w:pPr>
        <w:shd w:val="clear" w:color="auto" w:fill="FFFFFF"/>
        <w:spacing w:after="0" w:line="240" w:lineRule="auto"/>
        <w:jc w:val="both"/>
        <w:rPr>
          <w:rFonts w:eastAsia="Times New Roman" w:cstheme="minorHAnsi"/>
          <w:u w:val="single"/>
        </w:rPr>
      </w:pPr>
      <w:r w:rsidRPr="00E94B8D">
        <w:rPr>
          <w:rFonts w:eastAsia="Times New Roman" w:cstheme="minorHAnsi"/>
        </w:rPr>
        <w:t>This code shall apply to the </w:t>
      </w:r>
      <w:r w:rsidRPr="00E94B8D">
        <w:rPr>
          <w:rFonts w:eastAsia="Times New Roman" w:cstheme="minorHAnsi"/>
          <w:i/>
          <w:iCs/>
        </w:rPr>
        <w:t>repair</w:t>
      </w:r>
      <w:r w:rsidRPr="00E94B8D">
        <w:rPr>
          <w:rFonts w:eastAsia="Times New Roman" w:cstheme="minorHAnsi"/>
        </w:rPr>
        <w:t>, </w:t>
      </w:r>
      <w:r w:rsidRPr="00E94B8D">
        <w:rPr>
          <w:rFonts w:eastAsia="Times New Roman" w:cstheme="minorHAnsi"/>
          <w:i/>
          <w:iCs/>
        </w:rPr>
        <w:t>alteration</w:t>
      </w:r>
      <w:r w:rsidRPr="00E94B8D">
        <w:rPr>
          <w:rFonts w:eastAsia="Times New Roman" w:cstheme="minorHAnsi"/>
        </w:rPr>
        <w:t>, </w:t>
      </w:r>
      <w:r w:rsidRPr="00E94B8D">
        <w:rPr>
          <w:rFonts w:eastAsia="Times New Roman" w:cstheme="minorHAnsi"/>
          <w:i/>
          <w:iCs/>
        </w:rPr>
        <w:t>change of occupancy</w:t>
      </w:r>
      <w:r w:rsidRPr="00E94B8D">
        <w:rPr>
          <w:rFonts w:eastAsia="Times New Roman" w:cstheme="minorHAnsi"/>
        </w:rPr>
        <w:t>, </w:t>
      </w:r>
      <w:r w:rsidRPr="00E94B8D">
        <w:rPr>
          <w:rFonts w:eastAsia="Times New Roman" w:cstheme="minorHAnsi"/>
          <w:i/>
          <w:iCs/>
        </w:rPr>
        <w:t>addition</w:t>
      </w:r>
      <w:r w:rsidRPr="00E94B8D">
        <w:rPr>
          <w:rFonts w:eastAsia="Times New Roman" w:cstheme="minorHAnsi"/>
        </w:rPr>
        <w:t> and relocation of </w:t>
      </w:r>
      <w:r w:rsidRPr="00E94B8D">
        <w:rPr>
          <w:rFonts w:eastAsia="Times New Roman" w:cstheme="minorHAnsi"/>
          <w:i/>
          <w:iCs/>
        </w:rPr>
        <w:t>existing buildings</w:t>
      </w:r>
      <w:r w:rsidRPr="00E94B8D">
        <w:rPr>
          <w:rFonts w:eastAsia="Times New Roman" w:cstheme="minorHAnsi"/>
        </w:rPr>
        <w:t>, regardless of occupancy, subject to the criteria of Sections 101.4.1 and 101.4.2.</w:t>
      </w:r>
      <w:r>
        <w:rPr>
          <w:rFonts w:eastAsia="Times New Roman" w:cstheme="minorHAnsi"/>
        </w:rPr>
        <w:t xml:space="preserve"> </w:t>
      </w:r>
      <w:r>
        <w:rPr>
          <w:rFonts w:eastAsia="Times New Roman" w:cstheme="minorHAnsi"/>
          <w:u w:val="single"/>
        </w:rPr>
        <w:t xml:space="preserve">This code </w:t>
      </w:r>
      <w:r w:rsidRPr="00E94B8D">
        <w:rPr>
          <w:rFonts w:cstheme="minorHAnsi"/>
          <w:u w:val="single"/>
        </w:rPr>
        <w:t xml:space="preserve">shall also apply to existing buildings that are subject to </w:t>
      </w:r>
      <w:r w:rsidRPr="00E94B8D">
        <w:rPr>
          <w:rFonts w:cstheme="minorHAnsi"/>
          <w:i/>
          <w:u w:val="single"/>
        </w:rPr>
        <w:t xml:space="preserve">Milestone Inspections, </w:t>
      </w:r>
      <w:r w:rsidRPr="00E94B8D">
        <w:rPr>
          <w:rFonts w:cstheme="minorHAnsi"/>
          <w:u w:val="single"/>
        </w:rPr>
        <w:t>as defined in Chapter 2 and as required in Chapter 18.</w:t>
      </w:r>
    </w:p>
    <w:p w:rsidR="00E94B8D" w:rsidRDefault="00E94B8D" w:rsidP="00E94B8D">
      <w:pPr>
        <w:shd w:val="clear" w:color="auto" w:fill="FFFFFF"/>
        <w:spacing w:after="0" w:line="240" w:lineRule="auto"/>
        <w:outlineLvl w:val="0"/>
        <w:rPr>
          <w:rFonts w:eastAsia="Times New Roman" w:cstheme="minorHAnsi"/>
          <w:b/>
          <w:bCs/>
          <w:kern w:val="36"/>
        </w:rPr>
      </w:pPr>
    </w:p>
    <w:p w:rsidR="00E94B8D" w:rsidRPr="00E94B8D" w:rsidRDefault="00E94B8D" w:rsidP="00E94B8D">
      <w:pPr>
        <w:shd w:val="clear" w:color="auto" w:fill="FFFFFF"/>
        <w:spacing w:after="0" w:line="240" w:lineRule="auto"/>
        <w:outlineLvl w:val="0"/>
        <w:rPr>
          <w:rFonts w:eastAsia="Times New Roman" w:cstheme="minorHAnsi"/>
          <w:b/>
          <w:bCs/>
          <w:kern w:val="36"/>
        </w:rPr>
      </w:pPr>
      <w:r w:rsidRPr="00E94B8D">
        <w:rPr>
          <w:rFonts w:eastAsia="Times New Roman" w:cstheme="minorHAnsi"/>
          <w:b/>
          <w:bCs/>
          <w:kern w:val="36"/>
        </w:rPr>
        <w:t>101.4.1</w:t>
      </w:r>
      <w:r>
        <w:rPr>
          <w:rFonts w:eastAsia="Times New Roman" w:cstheme="minorHAnsi"/>
          <w:b/>
          <w:bCs/>
          <w:kern w:val="36"/>
        </w:rPr>
        <w:t xml:space="preserve"> </w:t>
      </w:r>
      <w:r w:rsidRPr="00E94B8D">
        <w:rPr>
          <w:rFonts w:eastAsia="Times New Roman" w:cstheme="minorHAnsi"/>
          <w:b/>
          <w:bCs/>
          <w:kern w:val="36"/>
        </w:rPr>
        <w:t>Buildings not previously occupied.</w:t>
      </w:r>
    </w:p>
    <w:p w:rsidR="00E94B8D" w:rsidRPr="00E94B8D" w:rsidRDefault="00E94B8D" w:rsidP="00E94B8D">
      <w:pPr>
        <w:shd w:val="clear" w:color="auto" w:fill="FFFFFF"/>
        <w:spacing w:after="0" w:line="240" w:lineRule="auto"/>
        <w:jc w:val="both"/>
        <w:rPr>
          <w:rFonts w:eastAsia="Times New Roman" w:cstheme="minorHAnsi"/>
        </w:rPr>
      </w:pPr>
      <w:r w:rsidRPr="00E94B8D">
        <w:rPr>
          <w:rFonts w:eastAsia="Times New Roman" w:cstheme="minorHAnsi"/>
        </w:rPr>
        <w:t>A building or portion of a building that has not been previously occupied or used for its intended purpose in accordance with the laws in existence at the time of its completion shall be permitted to comply with the provisions of the laws in existence at the time of its original permit unless such permit has expired. Subsequent permits shall comply with the Florida Building Code, Building or Florida Building Code, Residential, as applicable, for new construction.</w:t>
      </w:r>
    </w:p>
    <w:p w:rsidR="00E94B8D" w:rsidRDefault="00E94B8D" w:rsidP="00E94B8D">
      <w:pPr>
        <w:shd w:val="clear" w:color="auto" w:fill="FFFFFF"/>
        <w:spacing w:after="0" w:line="240" w:lineRule="auto"/>
        <w:outlineLvl w:val="0"/>
        <w:rPr>
          <w:rFonts w:eastAsia="Times New Roman" w:cstheme="minorHAnsi"/>
          <w:b/>
          <w:bCs/>
          <w:kern w:val="36"/>
        </w:rPr>
      </w:pPr>
    </w:p>
    <w:p w:rsidR="00E94B8D" w:rsidRPr="00E94B8D" w:rsidRDefault="00E94B8D" w:rsidP="00E94B8D">
      <w:pPr>
        <w:shd w:val="clear" w:color="auto" w:fill="FFFFFF"/>
        <w:spacing w:after="0" w:line="240" w:lineRule="auto"/>
        <w:outlineLvl w:val="0"/>
        <w:rPr>
          <w:rFonts w:eastAsia="Times New Roman" w:cstheme="minorHAnsi"/>
          <w:b/>
          <w:bCs/>
          <w:kern w:val="36"/>
        </w:rPr>
      </w:pPr>
      <w:r w:rsidRPr="00E94B8D">
        <w:rPr>
          <w:rFonts w:eastAsia="Times New Roman" w:cstheme="minorHAnsi"/>
          <w:b/>
          <w:bCs/>
          <w:kern w:val="36"/>
        </w:rPr>
        <w:t>101.4.2</w:t>
      </w:r>
      <w:r>
        <w:rPr>
          <w:rFonts w:eastAsia="Times New Roman" w:cstheme="minorHAnsi"/>
          <w:b/>
          <w:bCs/>
          <w:kern w:val="36"/>
        </w:rPr>
        <w:t xml:space="preserve"> </w:t>
      </w:r>
      <w:r w:rsidRPr="00E94B8D">
        <w:rPr>
          <w:rFonts w:eastAsia="Times New Roman" w:cstheme="minorHAnsi"/>
          <w:b/>
          <w:bCs/>
          <w:kern w:val="36"/>
        </w:rPr>
        <w:t>Buildings previously occupied.</w:t>
      </w:r>
    </w:p>
    <w:p w:rsidR="00E94B8D" w:rsidRPr="00E94B8D" w:rsidRDefault="00E94B8D" w:rsidP="00E94B8D">
      <w:pPr>
        <w:shd w:val="clear" w:color="auto" w:fill="FFFFFF"/>
        <w:spacing w:after="0" w:line="240" w:lineRule="auto"/>
        <w:jc w:val="both"/>
        <w:rPr>
          <w:rFonts w:eastAsia="Times New Roman" w:cstheme="minorHAnsi"/>
        </w:rPr>
      </w:pPr>
      <w:r w:rsidRPr="00E94B8D">
        <w:rPr>
          <w:rFonts w:eastAsia="Times New Roman" w:cstheme="minorHAnsi"/>
        </w:rPr>
        <w:t>The legal occupancy of any building existing on the date of adoption of this code shall be permitted to continue without change, except as is specifically covered in this code, the Florida Fire Prevention Code, or as is deemed necessary by the </w:t>
      </w:r>
      <w:r w:rsidRPr="00E94B8D">
        <w:rPr>
          <w:rFonts w:eastAsia="Times New Roman" w:cstheme="minorHAnsi"/>
          <w:i/>
          <w:iCs/>
        </w:rPr>
        <w:t>code official</w:t>
      </w:r>
      <w:r w:rsidRPr="00E94B8D">
        <w:rPr>
          <w:rFonts w:eastAsia="Times New Roman" w:cstheme="minorHAnsi"/>
        </w:rPr>
        <w:t> for the general safety and welfare of the occupants and the public.</w:t>
      </w:r>
    </w:p>
    <w:p w:rsidR="00E94B8D" w:rsidRDefault="00E94B8D"/>
    <w:p w:rsidR="00E94B8D" w:rsidRDefault="00E94B8D"/>
    <w:p w:rsidR="008D5654" w:rsidRPr="00E94B8D" w:rsidRDefault="008D5654" w:rsidP="008D5654">
      <w:pPr>
        <w:rPr>
          <w:rFonts w:cstheme="minorHAnsi"/>
        </w:rPr>
      </w:pPr>
      <w:r w:rsidRPr="008D5654">
        <w:rPr>
          <w:rFonts w:cstheme="minorHAnsi"/>
          <w:b/>
        </w:rPr>
        <w:t>Justification:</w:t>
      </w:r>
      <w:r>
        <w:rPr>
          <w:rFonts w:cstheme="minorHAnsi"/>
        </w:rPr>
        <w:t xml:space="preserve"> The Chapter 1 provisions of Scope and Applicability of the Florida Building Code, Existing Building need to be revised to address the new provisions of the proposed Chapter 18. Without addressing Milestone Inspection</w:t>
      </w:r>
      <w:r w:rsidR="00B77D7E">
        <w:rPr>
          <w:rFonts w:cstheme="minorHAnsi"/>
        </w:rPr>
        <w:t>s</w:t>
      </w:r>
      <w:r>
        <w:rPr>
          <w:rFonts w:cstheme="minorHAnsi"/>
        </w:rPr>
        <w:t xml:space="preserve"> in the Scope and Applicability Sections of Chapter 1, the Florida Building Code, Existing Building would not apply to Milestone Inspections as there wo</w:t>
      </w:r>
      <w:bookmarkStart w:id="0" w:name="_GoBack"/>
      <w:bookmarkEnd w:id="0"/>
      <w:r>
        <w:rPr>
          <w:rFonts w:cstheme="minorHAnsi"/>
        </w:rPr>
        <w:t xml:space="preserve">uld be no way for the user to get to Chapter 18 from the Chapter 1 sections of 101.2 or 101.4. </w:t>
      </w:r>
    </w:p>
    <w:p w:rsidR="00E94B8D" w:rsidRPr="00E94B8D" w:rsidRDefault="00E94B8D"/>
    <w:sectPr w:rsidR="00E94B8D" w:rsidRPr="00E94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97"/>
    <w:rsid w:val="002D685E"/>
    <w:rsid w:val="008D5654"/>
    <w:rsid w:val="00B77D7E"/>
    <w:rsid w:val="00CF1C97"/>
    <w:rsid w:val="00E94B8D"/>
    <w:rsid w:val="00EA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C4C74"/>
  <w15:chartTrackingRefBased/>
  <w15:docId w15:val="{1CAE77EA-79FB-44E1-9B91-330D6F03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99761">
      <w:bodyDiv w:val="1"/>
      <w:marLeft w:val="0"/>
      <w:marRight w:val="0"/>
      <w:marTop w:val="0"/>
      <w:marBottom w:val="0"/>
      <w:divBdr>
        <w:top w:val="none" w:sz="0" w:space="0" w:color="auto"/>
        <w:left w:val="none" w:sz="0" w:space="0" w:color="auto"/>
        <w:bottom w:val="none" w:sz="0" w:space="0" w:color="auto"/>
        <w:right w:val="none" w:sz="0" w:space="0" w:color="auto"/>
      </w:divBdr>
      <w:divsChild>
        <w:div w:id="1919485752">
          <w:marLeft w:val="0"/>
          <w:marRight w:val="0"/>
          <w:marTop w:val="0"/>
          <w:marBottom w:val="0"/>
          <w:divBdr>
            <w:top w:val="none" w:sz="0" w:space="0" w:color="0B5940"/>
            <w:left w:val="none" w:sz="0" w:space="0" w:color="0B5940"/>
            <w:bottom w:val="none" w:sz="0" w:space="0" w:color="0B5940"/>
            <w:right w:val="none" w:sz="0" w:space="0" w:color="0B5940"/>
          </w:divBdr>
        </w:div>
        <w:div w:id="1812399770">
          <w:marLeft w:val="0"/>
          <w:marRight w:val="0"/>
          <w:marTop w:val="0"/>
          <w:marBottom w:val="0"/>
          <w:divBdr>
            <w:top w:val="none" w:sz="0" w:space="0" w:color="FFFFFF"/>
            <w:left w:val="none" w:sz="0" w:space="0" w:color="FFFFFF"/>
            <w:bottom w:val="none" w:sz="0" w:space="0" w:color="FFFFFF"/>
            <w:right w:val="none" w:sz="0" w:space="0" w:color="FFFFFF"/>
          </w:divBdr>
        </w:div>
        <w:div w:id="1512180648">
          <w:marLeft w:val="0"/>
          <w:marRight w:val="0"/>
          <w:marTop w:val="0"/>
          <w:marBottom w:val="0"/>
          <w:divBdr>
            <w:top w:val="none" w:sz="0" w:space="0" w:color="FFFFFF"/>
            <w:left w:val="none" w:sz="0" w:space="0" w:color="FFFFFF"/>
            <w:bottom w:val="none" w:sz="0" w:space="0" w:color="FFFFFF"/>
            <w:right w:val="none" w:sz="0" w:space="0"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 Apfelbeck</dc:creator>
  <cp:keywords/>
  <dc:description/>
  <cp:lastModifiedBy>Anthony C. Apfelbeck</cp:lastModifiedBy>
  <cp:revision>2</cp:revision>
  <dcterms:created xsi:type="dcterms:W3CDTF">2023-10-20T13:36:00Z</dcterms:created>
  <dcterms:modified xsi:type="dcterms:W3CDTF">2023-10-20T14:06:00Z</dcterms:modified>
</cp:coreProperties>
</file>