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66CE" w14:textId="27704562" w:rsidR="008B2A0D" w:rsidRPr="00F37CAD" w:rsidRDefault="00590739" w:rsidP="008B2A0D">
      <w:pPr>
        <w:widowControl/>
        <w:autoSpaceDE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Annual Technical Amendment</w:t>
      </w:r>
      <w:r w:rsidR="008B2A0D">
        <w:rPr>
          <w:rFonts w:eastAsia="Calibri"/>
          <w:b/>
          <w:bCs/>
          <w:sz w:val="28"/>
          <w:szCs w:val="28"/>
        </w:rPr>
        <w:t xml:space="preserve"> </w:t>
      </w:r>
      <w:bookmarkStart w:id="0" w:name="Accessibility"/>
      <w:r w:rsidR="008B2A0D">
        <w:rPr>
          <w:rFonts w:eastAsia="Calibri"/>
          <w:b/>
          <w:bCs/>
          <w:sz w:val="28"/>
          <w:szCs w:val="28"/>
        </w:rPr>
        <w:t>to the 8</w:t>
      </w:r>
      <w:r w:rsidR="008B2A0D" w:rsidRPr="007704F3">
        <w:rPr>
          <w:rFonts w:eastAsia="Calibri"/>
          <w:b/>
          <w:bCs/>
          <w:sz w:val="28"/>
          <w:szCs w:val="28"/>
          <w:vertAlign w:val="superscript"/>
        </w:rPr>
        <w:t>th</w:t>
      </w:r>
      <w:r w:rsidR="008B2A0D">
        <w:rPr>
          <w:rFonts w:eastAsia="Calibri"/>
          <w:b/>
          <w:bCs/>
          <w:sz w:val="28"/>
          <w:szCs w:val="28"/>
        </w:rPr>
        <w:t xml:space="preserve"> Edition (2023) Florida Building Code</w:t>
      </w:r>
    </w:p>
    <w:bookmarkEnd w:id="0"/>
    <w:p w14:paraId="338818A1" w14:textId="2571E402" w:rsidR="008B2A0D" w:rsidRDefault="008B2A0D" w:rsidP="008B2A0D">
      <w:pPr>
        <w:widowControl/>
        <w:autoSpaceDE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2024 Supplement 2 </w:t>
      </w:r>
    </w:p>
    <w:p w14:paraId="633B5167" w14:textId="77777777" w:rsidR="004D231C" w:rsidRDefault="004D231C" w:rsidP="00590739">
      <w:pPr>
        <w:widowControl/>
        <w:autoSpaceDE/>
        <w:rPr>
          <w:rFonts w:eastAsia="Calibri"/>
          <w:b/>
          <w:bCs/>
          <w:sz w:val="28"/>
          <w:szCs w:val="28"/>
        </w:rPr>
      </w:pPr>
    </w:p>
    <w:p w14:paraId="4E7846C6" w14:textId="2E0BFC67" w:rsidR="004D231C" w:rsidRDefault="00E442FB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Effective date </w:t>
      </w:r>
      <w:r w:rsidR="004D231C">
        <w:rPr>
          <w:rFonts w:eastAsia="Calibri"/>
          <w:b/>
          <w:bCs/>
          <w:sz w:val="28"/>
          <w:szCs w:val="28"/>
        </w:rPr>
        <w:t xml:space="preserve">– </w:t>
      </w:r>
      <w:r w:rsidR="000F02BC">
        <w:rPr>
          <w:rFonts w:eastAsia="Calibri"/>
          <w:b/>
          <w:bCs/>
          <w:sz w:val="28"/>
          <w:szCs w:val="28"/>
        </w:rPr>
        <w:t>A</w:t>
      </w:r>
      <w:r>
        <w:rPr>
          <w:rFonts w:eastAsia="Calibri"/>
          <w:b/>
          <w:bCs/>
          <w:sz w:val="28"/>
          <w:szCs w:val="28"/>
        </w:rPr>
        <w:t>ugust</w:t>
      </w:r>
      <w:r w:rsidR="000F02BC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19</w:t>
      </w:r>
      <w:r w:rsidR="000F02BC">
        <w:rPr>
          <w:rFonts w:eastAsia="Calibri"/>
          <w:b/>
          <w:bCs/>
          <w:sz w:val="28"/>
          <w:szCs w:val="28"/>
        </w:rPr>
        <w:t>, 2024</w:t>
      </w:r>
      <w:r w:rsidR="004D231C">
        <w:rPr>
          <w:rFonts w:eastAsia="Calibri"/>
          <w:b/>
          <w:bCs/>
          <w:sz w:val="28"/>
          <w:szCs w:val="28"/>
        </w:rPr>
        <w:t xml:space="preserve"> </w:t>
      </w:r>
    </w:p>
    <w:p w14:paraId="34FDE521" w14:textId="77777777" w:rsidR="00590739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</w:p>
    <w:p w14:paraId="12C1FF2A" w14:textId="06476056" w:rsidR="00590739" w:rsidRPr="00F37CAD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 w:rsidRPr="00F37CAD">
        <w:rPr>
          <w:rFonts w:eastAsia="Calibri"/>
          <w:b/>
          <w:bCs/>
          <w:sz w:val="28"/>
          <w:szCs w:val="28"/>
        </w:rPr>
        <w:t>8th Edition (2023) Florida Building Code</w:t>
      </w:r>
      <w:r w:rsidR="003A29FC">
        <w:rPr>
          <w:rFonts w:eastAsia="Calibri"/>
          <w:b/>
          <w:bCs/>
          <w:sz w:val="28"/>
          <w:szCs w:val="28"/>
        </w:rPr>
        <w:t xml:space="preserve">, Building </w:t>
      </w:r>
    </w:p>
    <w:p w14:paraId="2BA09714" w14:textId="77777777" w:rsidR="00932664" w:rsidRDefault="00932664"/>
    <w:p w14:paraId="7C0A72A7" w14:textId="3DC1FABF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 w:rsidR="00F647A5">
        <w:rPr>
          <w:rFonts w:eastAsiaTheme="minorHAnsi"/>
          <w:b/>
          <w:bCs/>
          <w:sz w:val="24"/>
          <w:szCs w:val="24"/>
        </w:rPr>
        <w:t xml:space="preserve"> –  </w:t>
      </w:r>
    </w:p>
    <w:p w14:paraId="37DD628F" w14:textId="77777777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</w:p>
    <w:p w14:paraId="431AE563" w14:textId="77777777" w:rsidR="00590739" w:rsidRDefault="00590739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  <w:bookmarkStart w:id="1" w:name="_Hlk164927780"/>
      <w:r w:rsidRPr="009D4DB5">
        <w:rPr>
          <w:rFonts w:eastAsiaTheme="minorHAnsi"/>
          <w:sz w:val="24"/>
          <w:szCs w:val="24"/>
          <w14:ligatures w14:val="standardContextual"/>
        </w:rPr>
        <w:t xml:space="preserve">Revise definition for “Wind-Borne Debris Region” as follows: </w:t>
      </w:r>
    </w:p>
    <w:bookmarkEnd w:id="1"/>
    <w:p w14:paraId="14D40434" w14:textId="77777777" w:rsidR="005404FA" w:rsidRDefault="005404FA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5A77E8A3" w14:textId="6D5A16CC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located:</w:t>
      </w:r>
    </w:p>
    <w:p w14:paraId="3561EF20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7AFD3D0E" w14:textId="77777777" w:rsidR="005404FA" w:rsidRPr="00F647A5" w:rsidRDefault="005404FA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high-water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greater; or</w:t>
      </w:r>
    </w:p>
    <w:p w14:paraId="14078551" w14:textId="601C345A" w:rsidR="005404FA" w:rsidRPr="00F647A5" w:rsidRDefault="005404FA" w:rsidP="005404FA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greater.</w:t>
      </w:r>
    </w:p>
    <w:p w14:paraId="134AAE12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565A4F2A" w14:textId="282FA1FE" w:rsidR="005404FA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For Risk Category II buildings and other structures and Risk Category III buildings and other structures, except health care facilities, the wind-borne debris region shall be based on Figure 1609.3(1).  For Risk Category III health care facilities, the wind-borne debris region shall be based on Fig-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ure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1609.3(2). For Risk Category IV buildings and other structures, the wind-borne debris region shall be based on Figure 1609.3(3).</w:t>
      </w:r>
    </w:p>
    <w:p w14:paraId="5C673091" w14:textId="77777777" w:rsidR="00F647A5" w:rsidRDefault="00F647A5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7CBA0E20" w14:textId="77777777" w:rsidR="00A728F0" w:rsidRPr="00CB5BBD" w:rsidRDefault="00A728F0" w:rsidP="00A728F0">
      <w:pPr>
        <w:rPr>
          <w:sz w:val="24"/>
          <w:szCs w:val="24"/>
          <w:u w:val="single"/>
        </w:rPr>
      </w:pPr>
      <w:r w:rsidRPr="00CB5BBD">
        <w:rPr>
          <w:b/>
          <w:bCs/>
          <w:sz w:val="24"/>
          <w:szCs w:val="24"/>
          <w:u w:val="single"/>
        </w:rPr>
        <w:t xml:space="preserve">WIND-BORNE DEBRIS REGION. </w:t>
      </w:r>
      <w:r w:rsidRPr="00CB5BBD">
        <w:rPr>
          <w:sz w:val="24"/>
          <w:szCs w:val="24"/>
          <w:u w:val="single"/>
        </w:rPr>
        <w:t>Areas within hurricane- prone regions located:</w:t>
      </w:r>
    </w:p>
    <w:p w14:paraId="08BCC98E" w14:textId="77777777" w:rsidR="00A728F0" w:rsidRPr="00CB5BBD" w:rsidRDefault="00A728F0" w:rsidP="00A728F0">
      <w:pPr>
        <w:rPr>
          <w:sz w:val="24"/>
          <w:szCs w:val="24"/>
          <w:u w:val="single"/>
        </w:rPr>
      </w:pPr>
    </w:p>
    <w:p w14:paraId="4D8CFDAA" w14:textId="77777777" w:rsidR="00A728F0" w:rsidRPr="0014128E" w:rsidRDefault="00A728F0" w:rsidP="00A728F0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greater; or</w:t>
      </w:r>
    </w:p>
    <w:p w14:paraId="34EC3BA0" w14:textId="77777777" w:rsidR="00A728F0" w:rsidRPr="00CB5BBD" w:rsidRDefault="00A728F0" w:rsidP="00A728F0">
      <w:pPr>
        <w:ind w:firstLine="360"/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2. </w:t>
      </w:r>
      <w:r>
        <w:rPr>
          <w:sz w:val="24"/>
          <w:szCs w:val="24"/>
          <w:u w:val="single"/>
        </w:rPr>
        <w:tab/>
      </w:r>
      <w:r w:rsidRPr="00CB5BBD">
        <w:rPr>
          <w:sz w:val="24"/>
          <w:szCs w:val="24"/>
          <w:u w:val="single"/>
        </w:rPr>
        <w:t xml:space="preserve">In areas where the ultimate design wind speed, </w:t>
      </w:r>
      <w:proofErr w:type="spellStart"/>
      <w:r w:rsidRPr="00CB5BBD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CB5BBD">
        <w:rPr>
          <w:sz w:val="24"/>
          <w:szCs w:val="24"/>
          <w:u w:val="single"/>
        </w:rPr>
        <w:t>, is 140 mph (63.6 m/s) or greater.</w:t>
      </w:r>
    </w:p>
    <w:p w14:paraId="65B82CEF" w14:textId="77777777" w:rsidR="00A728F0" w:rsidRDefault="00A728F0" w:rsidP="00A728F0">
      <w:pPr>
        <w:rPr>
          <w:sz w:val="24"/>
          <w:szCs w:val="24"/>
          <w:u w:val="single"/>
        </w:rPr>
      </w:pPr>
    </w:p>
    <w:p w14:paraId="65A0B56C" w14:textId="77777777" w:rsidR="00A728F0" w:rsidRPr="00CB5BBD" w:rsidRDefault="00A728F0" w:rsidP="00A728F0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 buildings and other structures and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III buildings and other structures, except health care facilities, the wind-borne debris region shall be based on Figure 1609.3(1). 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>III health care facilities, the wind-borne debris region shall be based on Figure 1609.3(2). For Risk Category IV buildings and other structures, the wind-borne debris region shall be based on</w:t>
      </w:r>
    </w:p>
    <w:p w14:paraId="615CDFF3" w14:textId="77777777" w:rsidR="00A728F0" w:rsidRDefault="00A728F0" w:rsidP="00A728F0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>Figure 1609.3(3).</w:t>
      </w:r>
    </w:p>
    <w:p w14:paraId="5D265095" w14:textId="77777777" w:rsidR="003A29FC" w:rsidRDefault="003A29FC" w:rsidP="003A29FC">
      <w:pPr>
        <w:widowControl/>
        <w:autoSpaceDE/>
        <w:rPr>
          <w:rFonts w:eastAsia="Calibri"/>
          <w:b/>
          <w:bCs/>
          <w:sz w:val="28"/>
          <w:szCs w:val="28"/>
        </w:rPr>
      </w:pPr>
    </w:p>
    <w:p w14:paraId="04FF654C" w14:textId="2E7ECF51" w:rsidR="003A29FC" w:rsidRPr="00F37CAD" w:rsidRDefault="003A29FC" w:rsidP="003A29FC">
      <w:pPr>
        <w:widowControl/>
        <w:autoSpaceDE/>
        <w:rPr>
          <w:rFonts w:eastAsia="Calibri"/>
          <w:b/>
          <w:bCs/>
          <w:sz w:val="28"/>
          <w:szCs w:val="28"/>
        </w:rPr>
      </w:pPr>
      <w:r w:rsidRPr="00F37CAD">
        <w:rPr>
          <w:rFonts w:eastAsia="Calibri"/>
          <w:b/>
          <w:bCs/>
          <w:sz w:val="28"/>
          <w:szCs w:val="28"/>
        </w:rPr>
        <w:t>8th Edition (2023) Florida Building Code</w:t>
      </w:r>
      <w:r>
        <w:rPr>
          <w:rFonts w:eastAsia="Calibri"/>
          <w:b/>
          <w:bCs/>
          <w:sz w:val="28"/>
          <w:szCs w:val="28"/>
        </w:rPr>
        <w:t xml:space="preserve">, Residential </w:t>
      </w:r>
    </w:p>
    <w:p w14:paraId="6B9DA128" w14:textId="77777777" w:rsidR="000F02BC" w:rsidRDefault="000F02BC" w:rsidP="00F647A5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65D5010C" w14:textId="2A92115A" w:rsidR="00F647A5" w:rsidRDefault="00F647A5" w:rsidP="00F647A5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  </w:t>
      </w:r>
    </w:p>
    <w:p w14:paraId="6B5BEB3E" w14:textId="77777777" w:rsidR="003A29FC" w:rsidRDefault="003A29FC" w:rsidP="00F647A5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017215AC" w14:textId="77777777" w:rsidR="003A29FC" w:rsidRDefault="003A29FC" w:rsidP="003A29FC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  <w:r w:rsidRPr="009D4DB5">
        <w:rPr>
          <w:rFonts w:eastAsiaTheme="minorHAnsi"/>
          <w:sz w:val="24"/>
          <w:szCs w:val="24"/>
          <w14:ligatures w14:val="standardContextual"/>
        </w:rPr>
        <w:t xml:space="preserve">Revise definition for “Wind-Borne Debris Region” as follows: </w:t>
      </w:r>
    </w:p>
    <w:p w14:paraId="318F6CEA" w14:textId="77777777" w:rsid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25CF1A19" w14:textId="5D8E2788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 in accordance with one of the following:</w:t>
      </w:r>
    </w:p>
    <w:p w14:paraId="33E073F7" w14:textId="77777777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498FC468" w14:textId="77777777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</w:t>
      </w:r>
      <w:proofErr w:type="gramStart"/>
      <w:r w:rsidRPr="00F647A5">
        <w:rPr>
          <w:rFonts w:eastAsiaTheme="minorHAnsi"/>
          <w:strike/>
          <w:sz w:val="24"/>
          <w:szCs w:val="24"/>
          <w14:ligatures w14:val="standardContextual"/>
        </w:rPr>
        <w:t>high water</w:t>
      </w:r>
      <w:proofErr w:type="gram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greater.</w:t>
      </w:r>
    </w:p>
    <w:p w14:paraId="1D86055D" w14:textId="2B6E9EAD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greater; or Hawaii.</w:t>
      </w:r>
    </w:p>
    <w:p w14:paraId="6048E5B5" w14:textId="77777777" w:rsidR="0014128E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6BAA4E45" w14:textId="77777777" w:rsidR="00A728F0" w:rsidRPr="00CB5BBD" w:rsidRDefault="00A728F0" w:rsidP="00A728F0">
      <w:p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WINDBORNE DEBRIS REGION. Areas within hurricane-prone regions located in accordance with one of the following:</w:t>
      </w:r>
    </w:p>
    <w:p w14:paraId="7F898E52" w14:textId="77777777" w:rsidR="00A728F0" w:rsidRDefault="00A728F0" w:rsidP="00A728F0">
      <w:pPr>
        <w:rPr>
          <w:sz w:val="24"/>
          <w:szCs w:val="24"/>
          <w:u w:val="single"/>
        </w:rPr>
      </w:pPr>
    </w:p>
    <w:p w14:paraId="5B25D74C" w14:textId="77777777" w:rsidR="00A728F0" w:rsidRPr="0014128E" w:rsidRDefault="00A728F0" w:rsidP="00A728F0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1.</w:t>
      </w:r>
      <w:r w:rsidRPr="0014128E">
        <w:rPr>
          <w:sz w:val="24"/>
          <w:szCs w:val="24"/>
          <w:u w:val="single"/>
        </w:rPr>
        <w:tab/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greater.</w:t>
      </w:r>
    </w:p>
    <w:p w14:paraId="55C17405" w14:textId="77777777" w:rsidR="00A728F0" w:rsidRPr="00CB5BBD" w:rsidRDefault="00A728F0" w:rsidP="00A728F0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2.</w:t>
      </w:r>
      <w:r w:rsidRPr="0014128E">
        <w:rPr>
          <w:sz w:val="24"/>
          <w:szCs w:val="24"/>
          <w:u w:val="single"/>
        </w:rPr>
        <w:tab/>
        <w:t xml:space="preserve">In areas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140 mph (63.6 m/s) or greater; or Hawaii.</w:t>
      </w:r>
    </w:p>
    <w:p w14:paraId="798CD5DB" w14:textId="77777777" w:rsidR="00A728F0" w:rsidRPr="00CB5BBD" w:rsidRDefault="00A728F0" w:rsidP="00A728F0">
      <w:pPr>
        <w:rPr>
          <w:sz w:val="24"/>
          <w:szCs w:val="24"/>
          <w:u w:val="single"/>
        </w:rPr>
      </w:pPr>
    </w:p>
    <w:p w14:paraId="2AF51DEF" w14:textId="77777777" w:rsidR="00A728F0" w:rsidRPr="00CB5BBD" w:rsidRDefault="00A728F0" w:rsidP="00A728F0">
      <w:pPr>
        <w:rPr>
          <w:rFonts w:eastAsiaTheme="minorHAnsi"/>
          <w:color w:val="002060"/>
          <w:sz w:val="24"/>
          <w:szCs w:val="24"/>
        </w:rPr>
      </w:pPr>
    </w:p>
    <w:p w14:paraId="188A188B" w14:textId="77777777" w:rsidR="00A728F0" w:rsidRPr="00CB5BBD" w:rsidRDefault="00A728F0" w:rsidP="00A728F0">
      <w:pPr>
        <w:rPr>
          <w:rFonts w:eastAsiaTheme="minorHAnsi"/>
          <w:color w:val="002060"/>
          <w:sz w:val="24"/>
          <w:szCs w:val="24"/>
        </w:rPr>
      </w:pPr>
    </w:p>
    <w:p w14:paraId="6EC1FE54" w14:textId="77777777" w:rsidR="00A728F0" w:rsidRDefault="00A728F0" w:rsidP="0014128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6C893EE3" w14:textId="77777777" w:rsidR="00A728F0" w:rsidRDefault="00A728F0" w:rsidP="0014128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01C362A" w14:textId="77777777" w:rsidR="0014128E" w:rsidRDefault="0014128E" w:rsidP="00590739">
      <w:pPr>
        <w:rPr>
          <w:sz w:val="24"/>
          <w:szCs w:val="24"/>
          <w:u w:val="single"/>
        </w:rPr>
      </w:pPr>
    </w:p>
    <w:p w14:paraId="563C2E37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0B895F87" w14:textId="77777777" w:rsidR="00590739" w:rsidRPr="00CB5BBD" w:rsidRDefault="00590739" w:rsidP="00590739">
      <w:pPr>
        <w:widowControl/>
        <w:adjustRightInd w:val="0"/>
        <w:rPr>
          <w:sz w:val="28"/>
          <w:szCs w:val="28"/>
        </w:rPr>
      </w:pPr>
    </w:p>
    <w:sectPr w:rsidR="00590739" w:rsidRPr="00CB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129DE"/>
    <w:multiLevelType w:val="hybridMultilevel"/>
    <w:tmpl w:val="CAF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4207"/>
    <w:multiLevelType w:val="hybridMultilevel"/>
    <w:tmpl w:val="9974A188"/>
    <w:name w:val="Numbered list 1"/>
    <w:lvl w:ilvl="0" w:tplc="5BF8C0E4">
      <w:start w:val="1"/>
      <w:numFmt w:val="decimal"/>
      <w:lvlText w:val="%1."/>
      <w:lvlJc w:val="left"/>
      <w:pPr>
        <w:ind w:left="498" w:firstLine="0"/>
      </w:pPr>
      <w:rPr>
        <w:spacing w:val="0"/>
        <w:w w:val="99"/>
        <w:lang w:val="en-US" w:eastAsia="en-US" w:bidi="ar-SA"/>
      </w:rPr>
    </w:lvl>
    <w:lvl w:ilvl="1" w:tplc="7E96C510">
      <w:numFmt w:val="bullet"/>
      <w:lvlText w:val="•"/>
      <w:lvlJc w:val="left"/>
      <w:pPr>
        <w:ind w:left="1377" w:firstLine="0"/>
      </w:pPr>
      <w:rPr>
        <w:lang w:val="en-US" w:eastAsia="en-US" w:bidi="ar-SA"/>
      </w:rPr>
    </w:lvl>
    <w:lvl w:ilvl="2" w:tplc="9F46CE3C">
      <w:numFmt w:val="bullet"/>
      <w:lvlText w:val="•"/>
      <w:lvlJc w:val="left"/>
      <w:pPr>
        <w:ind w:left="2255" w:firstLine="0"/>
      </w:pPr>
      <w:rPr>
        <w:lang w:val="en-US" w:eastAsia="en-US" w:bidi="ar-SA"/>
      </w:rPr>
    </w:lvl>
    <w:lvl w:ilvl="3" w:tplc="61C43ADA">
      <w:numFmt w:val="bullet"/>
      <w:lvlText w:val="•"/>
      <w:lvlJc w:val="left"/>
      <w:pPr>
        <w:ind w:left="3133" w:firstLine="0"/>
      </w:pPr>
      <w:rPr>
        <w:lang w:val="en-US" w:eastAsia="en-US" w:bidi="ar-SA"/>
      </w:rPr>
    </w:lvl>
    <w:lvl w:ilvl="4" w:tplc="0F6E3538">
      <w:numFmt w:val="bullet"/>
      <w:lvlText w:val="•"/>
      <w:lvlJc w:val="left"/>
      <w:pPr>
        <w:ind w:left="4011" w:firstLine="0"/>
      </w:pPr>
      <w:rPr>
        <w:lang w:val="en-US" w:eastAsia="en-US" w:bidi="ar-SA"/>
      </w:rPr>
    </w:lvl>
    <w:lvl w:ilvl="5" w:tplc="2D2A0D78">
      <w:numFmt w:val="bullet"/>
      <w:lvlText w:val="•"/>
      <w:lvlJc w:val="left"/>
      <w:pPr>
        <w:ind w:left="4889" w:firstLine="0"/>
      </w:pPr>
      <w:rPr>
        <w:lang w:val="en-US" w:eastAsia="en-US" w:bidi="ar-SA"/>
      </w:rPr>
    </w:lvl>
    <w:lvl w:ilvl="6" w:tplc="0B7603C2">
      <w:numFmt w:val="bullet"/>
      <w:lvlText w:val="•"/>
      <w:lvlJc w:val="left"/>
      <w:pPr>
        <w:ind w:left="5767" w:firstLine="0"/>
      </w:pPr>
      <w:rPr>
        <w:lang w:val="en-US" w:eastAsia="en-US" w:bidi="ar-SA"/>
      </w:rPr>
    </w:lvl>
    <w:lvl w:ilvl="7" w:tplc="95265BF8">
      <w:numFmt w:val="bullet"/>
      <w:lvlText w:val="•"/>
      <w:lvlJc w:val="left"/>
      <w:pPr>
        <w:ind w:left="6645" w:firstLine="0"/>
      </w:pPr>
      <w:rPr>
        <w:lang w:val="en-US" w:eastAsia="en-US" w:bidi="ar-SA"/>
      </w:rPr>
    </w:lvl>
    <w:lvl w:ilvl="8" w:tplc="B99038C4">
      <w:numFmt w:val="bullet"/>
      <w:lvlText w:val="•"/>
      <w:lvlJc w:val="left"/>
      <w:pPr>
        <w:ind w:left="7523" w:firstLine="0"/>
      </w:pPr>
      <w:rPr>
        <w:lang w:val="en-US" w:eastAsia="en-US" w:bidi="ar-SA"/>
      </w:rPr>
    </w:lvl>
  </w:abstractNum>
  <w:abstractNum w:abstractNumId="2" w15:restartNumberingAfterBreak="0">
    <w:nsid w:val="77374F88"/>
    <w:multiLevelType w:val="hybridMultilevel"/>
    <w:tmpl w:val="DDE2CE70"/>
    <w:lvl w:ilvl="0" w:tplc="FFB6B7B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48516">
    <w:abstractNumId w:val="1"/>
  </w:num>
  <w:num w:numId="2" w16cid:durableId="1174607033">
    <w:abstractNumId w:val="2"/>
  </w:num>
  <w:num w:numId="3" w16cid:durableId="167943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9"/>
    <w:rsid w:val="000F02BC"/>
    <w:rsid w:val="0014128E"/>
    <w:rsid w:val="00236801"/>
    <w:rsid w:val="003A29FC"/>
    <w:rsid w:val="004D231C"/>
    <w:rsid w:val="005404FA"/>
    <w:rsid w:val="00590739"/>
    <w:rsid w:val="008B2A0D"/>
    <w:rsid w:val="00932664"/>
    <w:rsid w:val="009D4DB5"/>
    <w:rsid w:val="00A728F0"/>
    <w:rsid w:val="00B17D84"/>
    <w:rsid w:val="00E442FB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E520"/>
  <w15:chartTrackingRefBased/>
  <w15:docId w15:val="{69EA3493-4845-49EF-869A-C5E7F9A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0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8</cp:revision>
  <dcterms:created xsi:type="dcterms:W3CDTF">2024-02-27T20:31:00Z</dcterms:created>
  <dcterms:modified xsi:type="dcterms:W3CDTF">2024-08-01T12:11:00Z</dcterms:modified>
</cp:coreProperties>
</file>